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1BF5" w14:textId="3CD35D3B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t>Neckarsulm (Germania), 27</w:t>
      </w:r>
      <w:r w:rsidRPr="00155932">
        <w:rPr>
          <w:rFonts w:ascii="Arial" w:hAnsi="Arial" w:cs="Arial"/>
          <w:noProof/>
          <w:sz w:val="18"/>
          <w:szCs w:val="18"/>
          <w:lang w:val="it-IT"/>
        </w:rPr>
        <w:t xml:space="preserve"> ottobre 2023</w:t>
      </w:r>
      <w:r w:rsidR="002F250F" w:rsidRPr="00155932">
        <w:rPr>
          <w:rFonts w:ascii="Arial" w:hAnsi="Arial" w:cs="Arial"/>
          <w:noProof/>
          <w:u w:val="single"/>
          <w:lang w:val="it-IT"/>
        </w:rPr>
        <w:br/>
        <w:t>Componenti per montaggio a pannello con codifica “K”e “L” a norma UL 2237</w:t>
      </w:r>
    </w:p>
    <w:p w14:paraId="467D5D12" w14:textId="77777777" w:rsidR="00711E37" w:rsidRPr="005451A3" w:rsidRDefault="004B4856" w:rsidP="000E26B2">
      <w:pPr>
        <w:pStyle w:val="TextA"/>
        <w:spacing w:line="360" w:lineRule="auto"/>
        <w:rPr>
          <w:rFonts w:ascii="Arial" w:eastAsia="Calibri" w:hAnsi="Arial" w:cs="Arial"/>
          <w:b/>
          <w:noProof/>
          <w:sz w:val="32"/>
          <w:lang w:val="it-IT"/>
        </w:rPr>
      </w:pPr>
      <w:r w:rsidRPr="000E26B2">
        <w:rPr>
          <w:rFonts w:ascii="Arial" w:hAnsi="Arial" w:cs="Arial"/>
          <w:b/>
          <w:bCs/>
          <w:noProof/>
          <w:sz w:val="32"/>
          <w:lang w:val="it-IT"/>
        </w:rPr>
        <w:t>Connettori di alimentazione per il mercato nordamericano</w:t>
      </w:r>
    </w:p>
    <w:p w14:paraId="526857ED" w14:textId="1B5477B5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  <w:t>I componenti di alimentatori previsti per l’uso in quadri elettrici nel Nord America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t xml:space="preserve"> devono soddisfare le specifiche della norma UL 2237. Gli ingegneri binder hanno progettato componenti per montaggio a pannello con codifica “K”</w:t>
      </w:r>
      <w:r w:rsidR="0021012D">
        <w:rPr>
          <w:rFonts w:ascii="Arial" w:hAnsi="Arial" w:cs="Arial"/>
          <w:b/>
          <w:bCs/>
          <w:noProof/>
          <w:color w:val="auto"/>
          <w:lang w:val="it-IT"/>
        </w:rPr>
        <w:t xml:space="preserve"> 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t>e “L” nell’ambito delle serie 824 e 823 di connettori M12, che rispondono pienamente a questi requisiti.</w:t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</w:r>
      <w:r w:rsidRPr="00FF2167">
        <w:rPr>
          <w:rFonts w:ascii="Arial" w:hAnsi="Arial" w:cs="Arial"/>
          <w:b/>
          <w:bCs/>
          <w:noProof/>
          <w:color w:val="auto"/>
          <w:lang w:val="it-IT"/>
        </w:rPr>
        <w:br/>
      </w:r>
      <w:r w:rsidRPr="00FF2167">
        <w:rPr>
          <w:rFonts w:ascii="Arial" w:hAnsi="Arial" w:cs="Arial"/>
          <w:noProof/>
          <w:color w:val="auto"/>
          <w:lang w:val="it-IT"/>
        </w:rPr>
        <w:t>binde</w:t>
      </w:r>
      <w:r w:rsidRPr="00FF2167">
        <w:rPr>
          <w:rFonts w:ascii="Arial" w:hAnsi="Arial" w:cs="Arial"/>
          <w:noProof/>
          <w:color w:val="auto"/>
          <w:lang w:val="it-IT"/>
        </w:rPr>
        <w:t>r, produttore di connettori cilindrici industriali e leader nel settore, offre componenti per montaggio a pannello con codifica “K”e “L” nell’ambito delle serie di prodotti 824 e 823 previsti per l’uso in applicazioni di alimentazione nel mercato nordameri</w:t>
      </w:r>
      <w:r w:rsidRPr="00FF2167">
        <w:rPr>
          <w:rFonts w:ascii="Arial" w:hAnsi="Arial" w:cs="Arial"/>
          <w:noProof/>
          <w:color w:val="auto"/>
          <w:lang w:val="it-IT"/>
        </w:rPr>
        <w:t>cano in conformità alla norma UL 2237. Questi connettori, disponibili in versione sia maschio che femmina a 5 pin, sono dotati di sistema di bloccaggio ad avvitamento che soddisfa i criteri per il grado di protezione IP68. Le principali aree di applicazion</w:t>
      </w:r>
      <w:r w:rsidRPr="00FF2167">
        <w:rPr>
          <w:rFonts w:ascii="Arial" w:hAnsi="Arial" w:cs="Arial"/>
          <w:noProof/>
          <w:color w:val="auto"/>
          <w:lang w:val="it-IT"/>
        </w:rPr>
        <w:t>e di questi componenti M12 sono l’impiantistica metalmeccanica e quella elettrica oltre a</w:t>
      </w:r>
      <w:r w:rsidR="0021012D">
        <w:rPr>
          <w:rFonts w:ascii="Arial" w:hAnsi="Arial" w:cs="Arial"/>
          <w:noProof/>
          <w:color w:val="auto"/>
          <w:lang w:val="it-IT"/>
        </w:rPr>
        <w:t>i</w:t>
      </w:r>
      <w:r w:rsidRPr="00FF2167">
        <w:rPr>
          <w:rFonts w:ascii="Arial" w:hAnsi="Arial" w:cs="Arial"/>
          <w:noProof/>
          <w:color w:val="auto"/>
          <w:lang w:val="it-IT"/>
        </w:rPr>
        <w:t xml:space="preserve"> controlli industriali.</w:t>
      </w:r>
    </w:p>
    <w:p w14:paraId="0801F784" w14:textId="77777777" w:rsidR="000E26B2" w:rsidRPr="005451A3" w:rsidRDefault="000E26B2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4E814351" w14:textId="77777777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0E26B2">
        <w:rPr>
          <w:rFonts w:ascii="Arial" w:hAnsi="Arial" w:cs="Arial"/>
          <w:b/>
          <w:bCs/>
          <w:noProof/>
          <w:color w:val="auto"/>
          <w:lang w:val="it-IT"/>
        </w:rPr>
        <w:t>UL 2237 – componenti per montaggio a pannello per il Nord America</w:t>
      </w:r>
    </w:p>
    <w:p w14:paraId="50005563" w14:textId="77777777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0E26B2">
        <w:rPr>
          <w:rFonts w:ascii="Arial" w:hAnsi="Arial" w:cs="Arial"/>
          <w:noProof/>
          <w:color w:val="auto"/>
          <w:lang w:val="it-IT"/>
        </w:rPr>
        <w:t xml:space="preserve">L’uso di interfacce elettromeccaniche per la trasmissione di tensione e </w:t>
      </w:r>
      <w:r w:rsidRPr="000E26B2">
        <w:rPr>
          <w:rFonts w:ascii="Arial" w:hAnsi="Arial" w:cs="Arial"/>
          <w:noProof/>
          <w:color w:val="auto"/>
          <w:lang w:val="it-IT"/>
        </w:rPr>
        <w:t>potenza in quadri elettrici sul mercato nordamericano richiede approvazioni in conformità alla norma UL 2237, che specifica linee guida alle prove di connettori, cavi, premitreccia e fusibili, come la prova di corrente del percorso di messa a terra (equipo</w:t>
      </w:r>
      <w:r w:rsidRPr="000E26B2">
        <w:rPr>
          <w:rFonts w:ascii="Arial" w:hAnsi="Arial" w:cs="Arial"/>
          <w:noProof/>
          <w:color w:val="auto"/>
          <w:lang w:val="it-IT"/>
        </w:rPr>
        <w:t>tenzialità): questa procedura stabilisce il percorso PE (terra di protezione) necessario affinché un cavo di sezione AWG16 (1,31 mm²) o AWG14 (2,08 mm²) tolleri, rispettivamente, una corrente di 190 A o di 300 A per quattro secondi senza interruzioni. Le a</w:t>
      </w:r>
      <w:r w:rsidRPr="000E26B2">
        <w:rPr>
          <w:rFonts w:ascii="Arial" w:hAnsi="Arial" w:cs="Arial"/>
          <w:noProof/>
          <w:color w:val="auto"/>
          <w:lang w:val="it-IT"/>
        </w:rPr>
        <w:t>pplicazioni CA richiedono inoltre l’esecuzione di una prova di sovraccarico anomalo a una corrente pari a 1,5 volte quella nominale – durante la quale il fusibile del percorso PE non deve intervenire – oltre a una connessione aggiuntiva del pin PE all’invo</w:t>
      </w:r>
      <w:r w:rsidRPr="000E26B2">
        <w:rPr>
          <w:rFonts w:ascii="Arial" w:hAnsi="Arial" w:cs="Arial"/>
          <w:noProof/>
          <w:color w:val="auto"/>
          <w:lang w:val="it-IT"/>
        </w:rPr>
        <w:t>lucro del componente.</w:t>
      </w:r>
    </w:p>
    <w:p w14:paraId="37D8A470" w14:textId="77777777" w:rsidR="000E26B2" w:rsidRPr="005451A3" w:rsidRDefault="000E26B2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0D291EA1" w14:textId="77777777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0E26B2">
        <w:rPr>
          <w:rFonts w:ascii="Arial" w:hAnsi="Arial" w:cs="Arial"/>
          <w:b/>
          <w:bCs/>
          <w:noProof/>
          <w:color w:val="auto"/>
          <w:lang w:val="it-IT"/>
        </w:rPr>
        <w:t>Componenti per montaggio a pannello con codifica “K” e “L”</w:t>
      </w:r>
    </w:p>
    <w:p w14:paraId="7D88B3F7" w14:textId="77777777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0E26B2">
        <w:rPr>
          <w:rFonts w:ascii="Arial" w:hAnsi="Arial" w:cs="Arial"/>
          <w:noProof/>
          <w:color w:val="auto"/>
          <w:lang w:val="it-IT"/>
        </w:rPr>
        <w:t>Secondo la norma DIN EN 61076-2-111, la codifica “K” indica connettori M12 a 5 pin per alimentatori previsti per applicazioni CA quali drive o convertitori di frequenza. I li</w:t>
      </w:r>
      <w:r w:rsidRPr="000E26B2">
        <w:rPr>
          <w:rFonts w:ascii="Arial" w:hAnsi="Arial" w:cs="Arial"/>
          <w:noProof/>
          <w:color w:val="auto"/>
          <w:lang w:val="it-IT"/>
        </w:rPr>
        <w:t>miti sui valori nominali di tensione e corrente sono specificati, rispettivamente, a 630 V e 12 A. La codifica “L” si riferisce pure a un accoppiamento a 5 poli ma è progettata particolarmente per applicazioni CC fino a 63 V e 16 A; si tratta, per esempio,</w:t>
      </w:r>
      <w:r w:rsidRPr="000E26B2">
        <w:rPr>
          <w:rFonts w:ascii="Arial" w:hAnsi="Arial" w:cs="Arial"/>
          <w:noProof/>
          <w:color w:val="auto"/>
          <w:lang w:val="it-IT"/>
        </w:rPr>
        <w:t xml:space="preserve"> di motori elettrici di taglia inferiore o dispositivi fieldbus nei settori industriale e dell’automazione.</w:t>
      </w:r>
    </w:p>
    <w:p w14:paraId="4C701426" w14:textId="6A44544F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0E26B2">
        <w:rPr>
          <w:rFonts w:ascii="Arial" w:hAnsi="Arial" w:cs="Arial"/>
          <w:b/>
          <w:bCs/>
          <w:noProof/>
          <w:color w:val="auto"/>
          <w:lang w:val="it-IT"/>
        </w:rPr>
        <w:lastRenderedPageBreak/>
        <w:t>Panoramica sui componenti per montaggio a pannello 824 e 823</w:t>
      </w:r>
    </w:p>
    <w:p w14:paraId="02C1E6BA" w14:textId="77777777" w:rsidR="000E26B2" w:rsidRPr="005451A3" w:rsidRDefault="004B4856" w:rsidP="000E26B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0E26B2">
        <w:rPr>
          <w:rFonts w:ascii="Arial" w:hAnsi="Arial" w:cs="Arial"/>
          <w:noProof/>
          <w:color w:val="auto"/>
          <w:lang w:val="it-IT"/>
        </w:rPr>
        <w:t>I componenti per montaggio a pannello a 5 pin delle serie binder 824 e 823 con codif</w:t>
      </w:r>
      <w:r w:rsidRPr="000E26B2">
        <w:rPr>
          <w:rFonts w:ascii="Arial" w:hAnsi="Arial" w:cs="Arial"/>
          <w:noProof/>
          <w:color w:val="auto"/>
          <w:lang w:val="it-IT"/>
        </w:rPr>
        <w:t xml:space="preserve">ica “K” (numero di pin: 4+PE) e con codifica “L” (numero di pin: 4+FE, terra funzionale) sono dotati del sistema di bloccaggio ad avvitamento M12. Il tipo di terminazione è a singolo cavo. Sia i componenti con codifica “K” che quelli con codifica “L” sono </w:t>
      </w:r>
      <w:r w:rsidRPr="000E26B2">
        <w:rPr>
          <w:rFonts w:ascii="Arial" w:hAnsi="Arial" w:cs="Arial"/>
          <w:noProof/>
          <w:color w:val="auto"/>
          <w:lang w:val="it-IT"/>
        </w:rPr>
        <w:t>stati progettati per cavi di sezione AWG16 e AWG14. Per quanto riguarda i componenti CA con codifica “K”, i requisiti della norma UL 2237 sono stati soddisfatti mediante una connessione PE alla ghiera. È in corso di preparazione la domanda per la certifica</w:t>
      </w:r>
      <w:r w:rsidRPr="000E26B2">
        <w:rPr>
          <w:rFonts w:ascii="Arial" w:hAnsi="Arial" w:cs="Arial"/>
          <w:noProof/>
          <w:color w:val="auto"/>
          <w:lang w:val="it-IT"/>
        </w:rPr>
        <w:t>zione UL 2237.</w:t>
      </w:r>
    </w:p>
    <w:p w14:paraId="4C6E69F6" w14:textId="77777777" w:rsidR="005451A3" w:rsidRPr="002F5F43" w:rsidRDefault="004B4856" w:rsidP="005451A3">
      <w:pPr>
        <w:pStyle w:val="TextA"/>
        <w:spacing w:after="200" w:line="360" w:lineRule="auto"/>
        <w:rPr>
          <w:rFonts w:ascii="Arial" w:eastAsia="Calibri" w:hAnsi="Arial" w:cs="Arial"/>
          <w:lang w:val="it-IT"/>
        </w:rPr>
      </w:pPr>
      <w:r w:rsidRPr="000E26B2">
        <w:rPr>
          <w:rFonts w:ascii="Arial" w:hAnsi="Arial" w:cs="Arial"/>
          <w:noProof/>
          <w:color w:val="auto"/>
          <w:lang w:val="it-IT"/>
        </w:rPr>
        <w:t>La durata meccanica nominale dei componenti per montaggio a pannello è &gt;100 cicli di accoppiamento. I limiti di temperatura vanno da -40 a +85 °C (Serie 824) e da -40 a +105 °C (Serie 823).</w:t>
      </w:r>
      <w:r w:rsidRPr="000E26B2">
        <w:rPr>
          <w:rFonts w:ascii="Arial" w:hAnsi="Arial" w:cs="Arial"/>
          <w:noProof/>
          <w:color w:val="auto"/>
          <w:lang w:val="it-IT"/>
        </w:rPr>
        <w:br/>
      </w:r>
      <w:r w:rsidRPr="000E26B2">
        <w:rPr>
          <w:rFonts w:ascii="Arial" w:hAnsi="Arial" w:cs="Arial"/>
          <w:noProof/>
          <w:color w:val="auto"/>
          <w:lang w:val="it-IT"/>
        </w:rPr>
        <w:br/>
      </w:r>
      <w:r w:rsidR="005451A3" w:rsidRPr="002F5F43">
        <w:rPr>
          <w:rFonts w:ascii="Arial" w:hAnsi="Arial" w:cs="Arial"/>
          <w:b/>
          <w:bCs/>
          <w:lang w:val="it-IT"/>
        </w:rPr>
        <w:t>Profilo di binder</w:t>
      </w:r>
      <w:r w:rsidR="005451A3"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="005451A3" w:rsidRPr="002F5F43">
        <w:rPr>
          <w:rFonts w:ascii="Arial" w:hAnsi="Arial" w:cs="Arial"/>
          <w:lang w:val="it-IT"/>
        </w:rPr>
        <w:t>binder</w:t>
      </w:r>
      <w:proofErr w:type="spellEnd"/>
      <w:r w:rsidR="005451A3" w:rsidRPr="002F5F43">
        <w:rPr>
          <w:rFonts w:ascii="Arial" w:hAnsi="Arial" w:cs="Arial"/>
          <w:lang w:val="it-IT"/>
        </w:rPr>
        <w:t>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63BD16C7" w14:textId="5C41F1A5" w:rsidR="003B7235" w:rsidRPr="005451A3" w:rsidRDefault="005451A3" w:rsidP="005451A3">
      <w:pPr>
        <w:pStyle w:val="Standard1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2F5F43">
        <w:rPr>
          <w:rFonts w:ascii="Arial" w:hAnsi="Arial" w:cs="Arial"/>
          <w:sz w:val="22"/>
          <w:szCs w:val="22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  <w:r w:rsidR="001519EC" w:rsidRPr="00FF2167">
        <w:rPr>
          <w:rFonts w:ascii="Arial" w:eastAsia="Arial" w:hAnsi="Arial" w:cs="Arial"/>
          <w:noProof/>
          <w:color w:val="auto"/>
          <w:lang w:val="it-IT"/>
        </w:rPr>
        <w:br/>
      </w:r>
      <w:r w:rsidR="001519EC" w:rsidRPr="00FF2167">
        <w:rPr>
          <w:rFonts w:ascii="Arial" w:hAnsi="Arial" w:cs="Arial"/>
          <w:b/>
          <w:bCs/>
          <w:noProof/>
          <w:color w:val="auto"/>
          <w:lang w:val="it-IT"/>
        </w:rPr>
        <w:br/>
      </w:r>
      <w:r w:rsidR="001519EC" w:rsidRPr="00FF2167">
        <w:rPr>
          <w:rFonts w:ascii="Arial" w:hAnsi="Arial" w:cs="Arial"/>
          <w:bCs/>
          <w:noProof/>
          <w:color w:val="auto"/>
          <w:u w:val="single"/>
          <w:lang w:val="it-IT"/>
        </w:rPr>
        <w:t>Didascalia</w:t>
      </w:r>
      <w:r w:rsidR="001519EC" w:rsidRPr="00FF2167">
        <w:rPr>
          <w:rFonts w:ascii="Arial" w:eastAsia="Calibri" w:hAnsi="Arial" w:cs="Arial"/>
          <w:noProof/>
          <w:color w:val="auto"/>
          <w:u w:val="single"/>
          <w:lang w:val="it-IT"/>
        </w:rPr>
        <w:br/>
      </w:r>
      <w:r w:rsidRPr="000E26B2">
        <w:rPr>
          <w:rFonts w:ascii="Arial" w:hAnsi="Arial" w:cs="Arial"/>
          <w:noProof/>
          <w:color w:val="auto"/>
          <w:lang w:val="it-IT"/>
        </w:rPr>
        <w:t>Componenti con codifica “K” e “L” delle serie 824 e 823 di connettori M12 per la trasmissione di tensione e potenza in applicazioni per il mercato nordamericano. Foto: binder</w:t>
      </w:r>
      <w:r w:rsidRPr="000E26B2">
        <w:rPr>
          <w:rFonts w:ascii="Arial" w:hAnsi="Arial" w:cs="Arial"/>
          <w:noProof/>
          <w:color w:val="auto"/>
          <w:lang w:val="it-IT"/>
        </w:rPr>
        <w:br/>
      </w:r>
      <w:r w:rsidRPr="000E26B2">
        <w:rPr>
          <w:rFonts w:ascii="Arial" w:hAnsi="Arial" w:cs="Arial"/>
          <w:noProof/>
          <w:color w:val="auto"/>
          <w:u w:val="single"/>
          <w:lang w:val="it-IT"/>
        </w:rPr>
        <w:br/>
        <w:t>Campi di impiego</w:t>
      </w:r>
    </w:p>
    <w:p w14:paraId="681FCCC0" w14:textId="77777777" w:rsidR="000E26B2" w:rsidRPr="005451A3" w:rsidRDefault="004B4856" w:rsidP="000E26B2">
      <w:pPr>
        <w:pStyle w:val="Listenabsatz"/>
        <w:widowControl/>
        <w:numPr>
          <w:ilvl w:val="0"/>
          <w:numId w:val="10"/>
        </w:numPr>
        <w:spacing w:line="360" w:lineRule="auto"/>
        <w:rPr>
          <w:rFonts w:ascii="Arial" w:hAnsi="Arial" w:cs="Arial"/>
          <w:lang w:val="it-IT"/>
        </w:rPr>
      </w:pPr>
      <w:r w:rsidRPr="000E26B2">
        <w:rPr>
          <w:rFonts w:ascii="Arial" w:hAnsi="Arial" w:cs="Arial"/>
          <w:lang w:val="it-IT"/>
        </w:rPr>
        <w:t>Alimentatori CA e CC di componenti per automazione in sistemi industriali e nell’impian</w:t>
      </w:r>
      <w:r w:rsidRPr="000E26B2">
        <w:rPr>
          <w:rFonts w:ascii="Arial" w:hAnsi="Arial" w:cs="Arial"/>
          <w:lang w:val="it-IT"/>
        </w:rPr>
        <w:t>tistica metalmeccanica</w:t>
      </w:r>
    </w:p>
    <w:p w14:paraId="26FEC748" w14:textId="77777777" w:rsidR="000E26B2" w:rsidRPr="005451A3" w:rsidRDefault="004B4856" w:rsidP="000E26B2">
      <w:pPr>
        <w:pStyle w:val="Listenabsatz"/>
        <w:widowControl/>
        <w:numPr>
          <w:ilvl w:val="0"/>
          <w:numId w:val="10"/>
        </w:numPr>
        <w:spacing w:line="360" w:lineRule="auto"/>
        <w:rPr>
          <w:rFonts w:ascii="Arial" w:hAnsi="Arial" w:cs="Arial"/>
          <w:lang w:val="it-IT"/>
        </w:rPr>
      </w:pPr>
      <w:r w:rsidRPr="000E26B2">
        <w:rPr>
          <w:rFonts w:ascii="Arial" w:hAnsi="Arial" w:cs="Arial"/>
          <w:lang w:val="it-IT"/>
        </w:rPr>
        <w:t>Integrazione di quadri elettrici per il mercato nordamericano</w:t>
      </w:r>
    </w:p>
    <w:p w14:paraId="172FCD5B" w14:textId="77777777" w:rsidR="003B7235" w:rsidRPr="005451A3" w:rsidRDefault="003B7235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1FE5D861" w14:textId="77777777" w:rsidR="003B7235" w:rsidRPr="00FF2167" w:rsidRDefault="004B4856" w:rsidP="003B7235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Caratteristiche</w:t>
      </w:r>
    </w:p>
    <w:p w14:paraId="4FAABD2E" w14:textId="77777777" w:rsidR="000E26B2" w:rsidRPr="000E26B2" w:rsidRDefault="004B4856" w:rsidP="000E26B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t>Sistema di bloccaggio: ad avvitamento</w:t>
      </w:r>
    </w:p>
    <w:p w14:paraId="64287389" w14:textId="77777777" w:rsidR="000E26B2" w:rsidRPr="005451A3" w:rsidRDefault="004B4856" w:rsidP="000E26B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t>Numero di pin: 5 (4+PE, 4+FE)</w:t>
      </w:r>
    </w:p>
    <w:p w14:paraId="7EE54933" w14:textId="77777777" w:rsidR="000E26B2" w:rsidRPr="005451A3" w:rsidRDefault="004B4856" w:rsidP="000E26B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lastRenderedPageBreak/>
        <w:t>Terminazione: a singolo cavo, brasatura a immersione (THR)</w:t>
      </w:r>
    </w:p>
    <w:p w14:paraId="3D362216" w14:textId="77777777" w:rsidR="000E26B2" w:rsidRPr="000E26B2" w:rsidRDefault="004B4856" w:rsidP="000E26B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t xml:space="preserve">Sezione del cavo: AWG16, </w:t>
      </w: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t>AWG14</w:t>
      </w:r>
    </w:p>
    <w:p w14:paraId="60C689DF" w14:textId="77777777" w:rsidR="00FF2167" w:rsidRPr="00FF2167" w:rsidRDefault="004B4856" w:rsidP="000E26B2">
      <w:pPr>
        <w:pStyle w:val="Standard1"/>
        <w:numPr>
          <w:ilvl w:val="0"/>
          <w:numId w:val="9"/>
        </w:numPr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0E26B2">
        <w:rPr>
          <w:rFonts w:ascii="Arial" w:hAnsi="Arial" w:cs="Arial"/>
          <w:noProof/>
          <w:color w:val="auto"/>
          <w:sz w:val="22"/>
          <w:szCs w:val="22"/>
          <w:lang w:val="it-IT"/>
        </w:rPr>
        <w:t>Grado di protezione: IP67, IP68</w:t>
      </w:r>
    </w:p>
    <w:p w14:paraId="0CB6D4EE" w14:textId="77777777" w:rsidR="005451A3" w:rsidRDefault="005451A3" w:rsidP="005451A3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</w:p>
    <w:p w14:paraId="5D136AB4" w14:textId="77777777" w:rsidR="005451A3" w:rsidRPr="001367A8" w:rsidRDefault="005451A3" w:rsidP="005451A3">
      <w:pPr>
        <w:spacing w:line="360" w:lineRule="auto"/>
        <w:rPr>
          <w:rFonts w:eastAsia="Calibri" w:cs="Arial"/>
          <w:noProof/>
          <w:color w:val="auto"/>
          <w:u w:color="333333"/>
          <w:lang w:val="it-IT"/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GmbH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Elektrische</w:t>
      </w:r>
      <w:proofErr w:type="spellEnd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Bauelemente</w:t>
      </w:r>
      <w:proofErr w:type="spellEnd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</w:t>
      </w:r>
      <w:r w:rsidRPr="004B4856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Roetelstrasse</w:t>
      </w:r>
      <w:proofErr w:type="spellEnd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</w:t>
      </w:r>
      <w:r w:rsidRPr="004B4856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D-74172 </w:t>
      </w:r>
      <w:proofErr w:type="spellStart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Neckarsulm</w:t>
      </w:r>
      <w:proofErr w:type="spellEnd"/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Germania</w:t>
      </w:r>
      <w:r w:rsidRPr="004B4856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4B4856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1367A8">
        <w:rPr>
          <w:rFonts w:cs="Arial"/>
          <w:noProof/>
          <w:color w:val="auto"/>
          <w:u w:color="333333"/>
          <w:lang w:val="it-IT"/>
        </w:rPr>
        <w:t>Milica Ilic</w:t>
      </w:r>
    </w:p>
    <w:p w14:paraId="4CF156BA" w14:textId="77777777" w:rsidR="005451A3" w:rsidRPr="00554DF9" w:rsidRDefault="005451A3" w:rsidP="005451A3">
      <w:pPr>
        <w:spacing w:line="360" w:lineRule="auto"/>
        <w:rPr>
          <w:rFonts w:eastAsia="Calibri" w:cs="Arial"/>
          <w:noProof/>
          <w:color w:val="auto"/>
          <w:u w:color="333333"/>
        </w:rPr>
      </w:pPr>
      <w:r>
        <w:rPr>
          <w:rFonts w:cs="Arial"/>
          <w:noProof/>
          <w:color w:val="auto"/>
          <w:u w:color="333333"/>
        </w:rPr>
        <w:t>Tel. +49 (0) 7132 325-493</w:t>
      </w:r>
    </w:p>
    <w:p w14:paraId="61990784" w14:textId="77777777" w:rsidR="005451A3" w:rsidRPr="001367A8" w:rsidRDefault="005451A3" w:rsidP="005451A3">
      <w:pPr>
        <w:spacing w:line="360" w:lineRule="auto"/>
        <w:rPr>
          <w:rFonts w:cs="Arial"/>
          <w:noProof/>
          <w:color w:val="auto"/>
        </w:rPr>
      </w:pPr>
      <w:r>
        <w:rPr>
          <w:rFonts w:cs="Arial"/>
          <w:noProof/>
          <w:color w:val="auto"/>
          <w:u w:color="333333"/>
        </w:rPr>
        <w:t>E-Mail m.ilic</w:t>
      </w:r>
      <w:r w:rsidRPr="00554DF9">
        <w:rPr>
          <w:rFonts w:cs="Arial"/>
          <w:noProof/>
          <w:color w:val="auto"/>
          <w:u w:color="333333"/>
        </w:rPr>
        <w:t>@binder-connector.de</w:t>
      </w:r>
      <w:bookmarkStart w:id="0" w:name="_GoBack"/>
      <w:bookmarkEnd w:id="0"/>
    </w:p>
    <w:p w14:paraId="1FD59977" w14:textId="77777777" w:rsidR="001D2AB4" w:rsidRPr="000E26B2" w:rsidRDefault="001D2AB4" w:rsidP="000E26B2">
      <w:pPr>
        <w:spacing w:line="360" w:lineRule="auto"/>
        <w:rPr>
          <w:rFonts w:cs="Arial"/>
          <w:noProof/>
          <w:color w:val="auto"/>
          <w:lang w:val="it-IT"/>
        </w:rPr>
      </w:pPr>
    </w:p>
    <w:sectPr w:rsidR="001D2AB4" w:rsidRPr="000E26B2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C356" w14:textId="77777777" w:rsidR="00DD2D38" w:rsidRDefault="00DD2D38">
      <w:r>
        <w:separator/>
      </w:r>
    </w:p>
  </w:endnote>
  <w:endnote w:type="continuationSeparator" w:id="0">
    <w:p w14:paraId="352AFDD1" w14:textId="77777777" w:rsidR="00DD2D38" w:rsidRDefault="00DD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D9E9" w14:textId="77777777" w:rsidR="001D2AB4" w:rsidRDefault="001D2AB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0419" w14:textId="77777777" w:rsidR="00DD2D38" w:rsidRDefault="00DD2D38">
      <w:r>
        <w:separator/>
      </w:r>
    </w:p>
  </w:footnote>
  <w:footnote w:type="continuationSeparator" w:id="0">
    <w:p w14:paraId="7AFE1EBB" w14:textId="77777777" w:rsidR="00DD2D38" w:rsidRDefault="00DD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7D0E" w14:textId="77777777" w:rsidR="001D2AB4" w:rsidRDefault="004B4856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4F7612F" wp14:editId="61580F8E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EF3C82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8824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C2BE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0439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802F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29F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EC7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69C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813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FC7A01"/>
    <w:multiLevelType w:val="hybridMultilevel"/>
    <w:tmpl w:val="08784864"/>
    <w:numStyleLink w:val="ImportierterStil1"/>
  </w:abstractNum>
  <w:abstractNum w:abstractNumId="2" w15:restartNumberingAfterBreak="0">
    <w:nsid w:val="12435181"/>
    <w:multiLevelType w:val="hybridMultilevel"/>
    <w:tmpl w:val="D1B23654"/>
    <w:numStyleLink w:val="ImportierterStil2"/>
  </w:abstractNum>
  <w:abstractNum w:abstractNumId="3" w15:restartNumberingAfterBreak="0">
    <w:nsid w:val="15D00C7F"/>
    <w:multiLevelType w:val="hybridMultilevel"/>
    <w:tmpl w:val="08784864"/>
    <w:numStyleLink w:val="ImportierterStil1"/>
  </w:abstractNum>
  <w:abstractNum w:abstractNumId="4" w15:restartNumberingAfterBreak="0">
    <w:nsid w:val="1DEB6C3D"/>
    <w:multiLevelType w:val="hybridMultilevel"/>
    <w:tmpl w:val="7EB0A022"/>
    <w:styleLink w:val="Punkte"/>
    <w:lvl w:ilvl="0" w:tplc="8E5ABAF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154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486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C16D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EFEA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E48D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2A9F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4C70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2C8CA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E670CE"/>
    <w:multiLevelType w:val="hybridMultilevel"/>
    <w:tmpl w:val="08784864"/>
    <w:numStyleLink w:val="ImportierterStil1"/>
  </w:abstractNum>
  <w:abstractNum w:abstractNumId="6" w15:restartNumberingAfterBreak="0">
    <w:nsid w:val="4B3B59DD"/>
    <w:multiLevelType w:val="hybridMultilevel"/>
    <w:tmpl w:val="D1B23654"/>
    <w:numStyleLink w:val="ImportierterStil2"/>
  </w:abstractNum>
  <w:abstractNum w:abstractNumId="7" w15:restartNumberingAfterBreak="0">
    <w:nsid w:val="5FB14733"/>
    <w:multiLevelType w:val="hybridMultilevel"/>
    <w:tmpl w:val="7EB0A022"/>
    <w:numStyleLink w:val="Punkte"/>
  </w:abstractNum>
  <w:abstractNum w:abstractNumId="8" w15:restartNumberingAfterBreak="0">
    <w:nsid w:val="636F559D"/>
    <w:multiLevelType w:val="hybridMultilevel"/>
    <w:tmpl w:val="08784864"/>
    <w:numStyleLink w:val="ImportierterStil1"/>
  </w:abstractNum>
  <w:abstractNum w:abstractNumId="9" w15:restartNumberingAfterBreak="0">
    <w:nsid w:val="6B36553A"/>
    <w:multiLevelType w:val="hybridMultilevel"/>
    <w:tmpl w:val="D1B23654"/>
    <w:styleLink w:val="ImportierterStil2"/>
    <w:lvl w:ilvl="0" w:tplc="93ACBCB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66A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22F23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6ECAD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8C957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6258C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680C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0E35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C3F1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33CBF"/>
    <w:rsid w:val="000A26DE"/>
    <w:rsid w:val="000E26B2"/>
    <w:rsid w:val="000E3B75"/>
    <w:rsid w:val="00112125"/>
    <w:rsid w:val="001519EC"/>
    <w:rsid w:val="00155932"/>
    <w:rsid w:val="00192313"/>
    <w:rsid w:val="001D2AB4"/>
    <w:rsid w:val="0021012D"/>
    <w:rsid w:val="002D0344"/>
    <w:rsid w:val="002D676D"/>
    <w:rsid w:val="002F250F"/>
    <w:rsid w:val="0032794C"/>
    <w:rsid w:val="0033337B"/>
    <w:rsid w:val="00381097"/>
    <w:rsid w:val="003B7235"/>
    <w:rsid w:val="004B4856"/>
    <w:rsid w:val="004F0C4C"/>
    <w:rsid w:val="004F69C3"/>
    <w:rsid w:val="005451A3"/>
    <w:rsid w:val="005D472A"/>
    <w:rsid w:val="005F277E"/>
    <w:rsid w:val="00646B26"/>
    <w:rsid w:val="00711E37"/>
    <w:rsid w:val="0075373E"/>
    <w:rsid w:val="00892BE5"/>
    <w:rsid w:val="00B5673B"/>
    <w:rsid w:val="00BE468D"/>
    <w:rsid w:val="00D24E5D"/>
    <w:rsid w:val="00DB1093"/>
    <w:rsid w:val="00DD2D38"/>
    <w:rsid w:val="00E8769B"/>
    <w:rsid w:val="00FB0493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864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  <w:style w:type="paragraph" w:styleId="berarbeitung">
    <w:name w:val="Revision"/>
    <w:hidden/>
    <w:uiPriority w:val="99"/>
    <w:semiHidden/>
    <w:rsid w:val="002D6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3</cp:revision>
  <dcterms:created xsi:type="dcterms:W3CDTF">2023-10-25T16:09:00Z</dcterms:created>
  <dcterms:modified xsi:type="dcterms:W3CDTF">2023-10-26T05:46:00Z</dcterms:modified>
</cp:coreProperties>
</file>