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A0AD" w14:textId="77777777" w:rsidR="007806E2" w:rsidRPr="00F066DF" w:rsidRDefault="007806E2" w:rsidP="007806E2">
      <w:pPr>
        <w:pBdr>
          <w:top w:val="none" w:sz="0" w:space="0" w:color="auto"/>
          <w:left w:val="none" w:sz="0" w:space="0" w:color="auto"/>
          <w:bottom w:val="none" w:sz="0" w:space="0" w:color="auto"/>
          <w:right w:val="none" w:sz="0" w:space="0" w:color="auto"/>
        </w:pBdr>
        <w:spacing w:line="360" w:lineRule="auto"/>
        <w:rPr>
          <w:rFonts w:cs="Arial"/>
          <w:sz w:val="18"/>
          <w:u w:val="single"/>
          <w:lang w:val="nl-NL"/>
        </w:rPr>
      </w:pPr>
      <w:r w:rsidRPr="00F066DF">
        <w:rPr>
          <w:rFonts w:cs="Arial"/>
          <w:sz w:val="18"/>
          <w:lang w:val="nl-NL"/>
        </w:rPr>
        <w:t>Neckarsulm, 29 mei 2024</w:t>
      </w:r>
    </w:p>
    <w:p w14:paraId="05FDC8DE"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u w:val="single"/>
          <w:lang w:val="nl-NL"/>
        </w:rPr>
        <w:t>Productoptimalisatie: M12-chassisdeel</w:t>
      </w:r>
    </w:p>
    <w:p w14:paraId="740FB314"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sz w:val="32"/>
          <w:lang w:val="nl-NL"/>
        </w:rPr>
      </w:pPr>
      <w:r w:rsidRPr="007806E2">
        <w:rPr>
          <w:rFonts w:cs="Arial"/>
          <w:b/>
          <w:sz w:val="32"/>
          <w:lang w:val="nl-NL"/>
        </w:rPr>
        <w:t>Compact ontwerp met voorgeassembleerde draden</w:t>
      </w:r>
    </w:p>
    <w:p w14:paraId="1955FC95"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b/>
          <w:lang w:val="nl-NL"/>
        </w:rPr>
      </w:pPr>
    </w:p>
    <w:p w14:paraId="12C78C6A"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b/>
          <w:lang w:val="nl-NL"/>
        </w:rPr>
        <w:t>Een geavanceerd afdichtingsconcept, veiligheidsfunctionaliteit en duurzame materialen kenmerken de nieuwste verbeteringen aan binder’s M12-chassisdelen. Gebruikers in de proces-, sensor- en drivetechnologie profiteren ook van optionele afscherming en aanpassing.</w:t>
      </w:r>
    </w:p>
    <w:p w14:paraId="0C627F66"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39BE2B12"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binder, een vooraanstaand leverancier van ronde industriële connectors, breidt zijn M12-portfolio uit met chassisdelen met een doorlopende M12x1-montageschroefdraad, die nu zijn uitgerust met voorgeassembleerde draden. Naast de eerder verkrijgbare dipsoldeerversies is er nu dus een variant met een andere aansluitwijze. binder richt zich met deze producten op toepassingen in automatiseringstechnologie, zoals procesautomatisering, sensor- en actuatortechnologie en robotica. Deze chassisdelen zijn bijzonder geschikt voor installatie op plaatsen waar weinig ruimte is, omdat ze rechtstreeks van de voorkant kunnen worden gemonteerd. Een grotere bevestigingsschroefdraad voor de koppelmoer, zoals M16x1,5, is bij dit product niet nodig.</w:t>
      </w:r>
    </w:p>
    <w:p w14:paraId="4F872229"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0E3669D2"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b/>
          <w:lang w:val="nl-NL"/>
        </w:rPr>
        <w:t>Afdichting, fixatie en voorkomen van verdraaiing</w:t>
      </w:r>
    </w:p>
    <w:p w14:paraId="5886587B" w14:textId="77777777" w:rsidR="007806E2" w:rsidRPr="007806E2" w:rsidRDefault="007806E2" w:rsidP="00F066DF">
      <w:pPr>
        <w:pBdr>
          <w:top w:val="none" w:sz="0" w:space="0" w:color="auto"/>
          <w:left w:val="none" w:sz="0" w:space="0" w:color="auto"/>
          <w:bottom w:val="none" w:sz="0" w:space="0" w:color="auto"/>
          <w:right w:val="none" w:sz="0" w:space="0" w:color="auto"/>
        </w:pBdr>
        <w:spacing w:after="240" w:line="360" w:lineRule="auto"/>
        <w:rPr>
          <w:rFonts w:cs="Arial"/>
          <w:lang w:val="nl-NL"/>
        </w:rPr>
      </w:pPr>
      <w:r w:rsidRPr="007806E2">
        <w:rPr>
          <w:rFonts w:cs="Arial"/>
          <w:lang w:val="nl-NL"/>
        </w:rPr>
        <w:t>In het nieuwe ontwerp hebben binder’s engineers een nieuw afdichtingsconcept geïntegreerd. Het huis van de connector wordt van de binnenkant in het paneel gedrukt en niet vanaf de kant waar de stekkers worden ingestoken. Daardoor wordt de afsluiting aan de voorkant gemaakt, in plaats van bij de rand van de male connector. Dat garandeert een constante afdichting onder industriële voorwaarden.</w:t>
      </w:r>
    </w:p>
    <w:p w14:paraId="34FD538E"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De huls van de connector is gemaakt van loodvrij messing en is daardoor ecologisch duurzaam. Hij heeft ook een specifieke vorm om de connector veilig vast te zetten. Deze vorm voorkomt ook verdraaiing.</w:t>
      </w:r>
    </w:p>
    <w:p w14:paraId="757B4580"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15263451"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b/>
          <w:lang w:val="nl-NL"/>
        </w:rPr>
        <w:t>Mogelijkheden bij ontwerp en fabricage</w:t>
      </w:r>
    </w:p>
    <w:p w14:paraId="75B1C1CB"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Op verzoek kan de body van de male connectors in increments van 45° in de huls worden gedrukt volgens specificaties van de klant. Ingieten is mogelijk, maar niet noodzakelijk. Voor gebruik in omgevingen met veel elektromagnetische storing kan ook een afschermplaat aan de huls worden bevestigd.</w:t>
      </w:r>
    </w:p>
    <w:p w14:paraId="0C03E557" w14:textId="791E6702" w:rsid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Optioneel kan ook een platte kant op de M12-draad worden aangebracht om verdraaiing te voorkomen.</w:t>
      </w:r>
    </w:p>
    <w:p w14:paraId="1E62AC8B"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p>
    <w:p w14:paraId="0C81EC83"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b/>
          <w:lang w:val="nl-NL"/>
        </w:rPr>
        <w:t>M12-achtergrond</w:t>
      </w:r>
    </w:p>
    <w:p w14:paraId="6F5B1004"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 xml:space="preserve">Sinds ze meer dan veertig jaar geleden op de markt kwamen, hebben M12-connectors een vooraanstaande rol gespeeld bij automatisering in het veld. Klassiek worden ze gebruikt voor industriële sensor/actuator-installaties, maar tegenwoordig ook voor robotica, industriële IoT en 5G-infrastructuur. </w:t>
      </w:r>
    </w:p>
    <w:p w14:paraId="13824CA9"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 xml:space="preserve">M12-connectors voldoen aan de DIN EN IEC 61076-2 standaard en zijn, dankzij standaardisering, in principe uitwisselbaar tussen fabrikanten. Die compatibiliteit speelt een belangrijke rol bij de brede acceptatie van het M12-formaat in de fabricage- en procesautomatisering. </w:t>
      </w:r>
    </w:p>
    <w:p w14:paraId="08C3B5C2"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Naast betere prestatie in overdrachtssnelheid en signaalkwaliteit, zijn de huidige ontwikkelingen in het M12-formaat voornamelijk gericht op robuustheid en betrouwbaarheid, kleinere afmetingen, gebruikersvriendelijkheid en duurzaamheid. In die context vertegenwoordigt binder’s productoptimalisatie een belangrijke stap in de toekomstgerichte uitbreiding van binder’s portfolio voor industriële automatisering.</w:t>
      </w:r>
    </w:p>
    <w:p w14:paraId="57207618" w14:textId="77777777" w:rsidR="007806E2" w:rsidRPr="007806E2" w:rsidRDefault="007806E2" w:rsidP="007806E2">
      <w:pPr>
        <w:pStyle w:val="Tekst"/>
        <w:pBdr>
          <w:top w:val="none" w:sz="0" w:space="0" w:color="auto"/>
          <w:left w:val="none" w:sz="0" w:space="0" w:color="auto"/>
          <w:bottom w:val="none" w:sz="0" w:space="0" w:color="auto"/>
          <w:right w:val="none" w:sz="0" w:space="0" w:color="auto"/>
        </w:pBdr>
        <w:spacing w:after="240" w:line="360" w:lineRule="auto"/>
        <w:rPr>
          <w:rFonts w:ascii="Arial" w:hAnsi="Arial" w:cs="Arial"/>
          <w:b/>
          <w:color w:val="333333"/>
          <w:u w:color="333333"/>
          <w:lang w:val="nl-NL"/>
        </w:rPr>
      </w:pPr>
    </w:p>
    <w:p w14:paraId="135F4D6A" w14:textId="77777777" w:rsidR="007806E2" w:rsidRPr="007806E2" w:rsidRDefault="007806E2" w:rsidP="007806E2">
      <w:pPr>
        <w:pStyle w:val="Tekst"/>
        <w:pBdr>
          <w:top w:val="none" w:sz="0" w:space="0" w:color="auto"/>
          <w:left w:val="none" w:sz="0" w:space="0" w:color="auto"/>
          <w:bottom w:val="none" w:sz="0" w:space="0" w:color="auto"/>
          <w:right w:val="none" w:sz="0" w:space="0" w:color="auto"/>
        </w:pBdr>
        <w:spacing w:line="360" w:lineRule="auto"/>
        <w:rPr>
          <w:rFonts w:ascii="Arial" w:hAnsi="Arial" w:cs="Arial"/>
          <w:b/>
          <w:color w:val="333333"/>
          <w:u w:color="333333"/>
          <w:lang w:val="nl-NL"/>
        </w:rPr>
      </w:pPr>
      <w:r w:rsidRPr="007806E2">
        <w:rPr>
          <w:rFonts w:ascii="Arial" w:hAnsi="Arial" w:cs="Arial"/>
          <w:b/>
          <w:color w:val="333333"/>
          <w:u w:color="333333"/>
          <w:lang w:val="nl-NL"/>
        </w:rPr>
        <w:t>Over binder</w:t>
      </w:r>
    </w:p>
    <w:p w14:paraId="4A29950D" w14:textId="77777777" w:rsidR="007806E2" w:rsidRPr="007806E2" w:rsidRDefault="007806E2" w:rsidP="007806E2">
      <w:pPr>
        <w:pStyle w:val="Tekst"/>
        <w:pBdr>
          <w:top w:val="none" w:sz="0" w:space="0" w:color="auto"/>
          <w:left w:val="none" w:sz="0" w:space="0" w:color="auto"/>
          <w:bottom w:val="none" w:sz="0" w:space="0" w:color="auto"/>
          <w:right w:val="none" w:sz="0" w:space="0" w:color="auto"/>
        </w:pBdr>
        <w:spacing w:after="240" w:line="360" w:lineRule="auto"/>
        <w:rPr>
          <w:rFonts w:ascii="Arial" w:hAnsi="Arial" w:cs="Arial"/>
          <w:lang w:val="nl-NL"/>
        </w:rPr>
      </w:pPr>
      <w:r w:rsidRPr="007806E2">
        <w:rPr>
          <w:rFonts w:ascii="Arial" w:hAnsi="Arial" w:cs="Arial"/>
          <w:u w:color="000000"/>
          <w:lang w:val="nl-NL"/>
        </w:rPr>
        <w:t>binder’s hoofdvestiging is gevestigd in Neckarsulm in Duitsland. Het is een familiebedrijf dat hecht aan traditionele waarden en is een vooraanstaande specialist in ronde connectors. De naam binder is al sinds 1960 synoniem voor de hoogste kwaliteit. Ze werken met 60 distributiepartners op zes continenten en hebben wereldwijd ca. 2000 medewerkers.</w:t>
      </w:r>
    </w:p>
    <w:p w14:paraId="384800BE"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De binder group omvat de hoofdvestiging, 16 gelieerde bedrijven, twee systeemdienstverleners en het innovatie- en technologiecentrum. Behalve in Duitsland heeft binder vestigingen in China, Frankrijk, Hongarije, Nederland, Oostenrijk, Singapore, Zweden, Zwitserland, het Verenigd Koninkrijk en de Verenigde Staten.</w:t>
      </w:r>
    </w:p>
    <w:p w14:paraId="3D515DE1"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lang w:val="nl-NL"/>
        </w:rPr>
      </w:pPr>
    </w:p>
    <w:p w14:paraId="758B46F1"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u w:val="single"/>
          <w:lang w:val="nl-NL"/>
        </w:rPr>
        <w:t>Figuurbijschrift:</w:t>
      </w:r>
    </w:p>
    <w:p w14:paraId="7B2D9351"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lang w:val="nl-NL"/>
        </w:rPr>
        <w:t>Engineers bij binder hebben een M12-chassisdeel met geassembleerde draden ontwikkeld. Foto: binder</w:t>
      </w:r>
    </w:p>
    <w:p w14:paraId="1E798FBA"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u w:val="single"/>
          <w:lang w:val="nl-NL"/>
        </w:rPr>
      </w:pPr>
    </w:p>
    <w:p w14:paraId="388B8B71" w14:textId="77777777" w:rsidR="007806E2" w:rsidRPr="007806E2" w:rsidRDefault="007806E2" w:rsidP="007806E2">
      <w:pPr>
        <w:pStyle w:val="Tekst"/>
        <w:pBdr>
          <w:top w:val="none" w:sz="0" w:space="0" w:color="auto"/>
          <w:left w:val="none" w:sz="0" w:space="0" w:color="auto"/>
          <w:bottom w:val="none" w:sz="0" w:space="0" w:color="auto"/>
          <w:right w:val="none" w:sz="0" w:space="0" w:color="auto"/>
        </w:pBdr>
        <w:spacing w:line="360" w:lineRule="auto"/>
        <w:rPr>
          <w:rFonts w:ascii="Arial" w:hAnsi="Arial" w:cs="Arial"/>
          <w:lang w:val="nl-NL"/>
        </w:rPr>
      </w:pPr>
      <w:r w:rsidRPr="007806E2">
        <w:rPr>
          <w:rFonts w:ascii="Arial" w:hAnsi="Arial" w:cs="Arial"/>
          <w:u w:val="single" w:color="000000"/>
          <w:lang w:val="nl-NL"/>
        </w:rPr>
        <w:t>Toepassingsgebieden:</w:t>
      </w:r>
    </w:p>
    <w:p w14:paraId="5C7142B8" w14:textId="77777777" w:rsidR="007806E2" w:rsidRPr="007806E2" w:rsidRDefault="007806E2" w:rsidP="007806E2">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lang w:val="nl-NL"/>
        </w:rPr>
        <w:t>Automatiseringstechnologie</w:t>
      </w:r>
    </w:p>
    <w:p w14:paraId="0019706D" w14:textId="77777777" w:rsidR="007806E2" w:rsidRPr="007806E2" w:rsidRDefault="007806E2" w:rsidP="007806E2">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lang w:val="nl-NL"/>
        </w:rPr>
        <w:t>Robotica</w:t>
      </w:r>
    </w:p>
    <w:p w14:paraId="6AFAC86E" w14:textId="77777777" w:rsidR="007806E2" w:rsidRPr="007806E2" w:rsidRDefault="007806E2" w:rsidP="007806E2">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lang w:val="nl-NL"/>
        </w:rPr>
        <w:t>Procestechnologie</w:t>
      </w:r>
    </w:p>
    <w:p w14:paraId="31E82511" w14:textId="77777777" w:rsidR="007806E2" w:rsidRPr="007806E2" w:rsidRDefault="007806E2" w:rsidP="007806E2">
      <w:pPr>
        <w:widowControl/>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lang w:val="nl-NL"/>
        </w:rPr>
        <w:t>Sensor- en actuatortechnologie</w:t>
      </w:r>
    </w:p>
    <w:p w14:paraId="31E2BD17"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eastAsia="Times New Roman" w:cs="Arial"/>
          <w:u w:val="single"/>
          <w:lang w:val="nl-NL"/>
        </w:rPr>
      </w:pPr>
    </w:p>
    <w:p w14:paraId="627CF2DF"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lang w:val="nl-NL"/>
        </w:rPr>
      </w:pPr>
      <w:r w:rsidRPr="007806E2">
        <w:rPr>
          <w:rFonts w:cs="Arial"/>
          <w:u w:val="single"/>
          <w:lang w:val="nl-NL"/>
        </w:rPr>
        <w:t>Eigenschappen:</w:t>
      </w:r>
    </w:p>
    <w:p w14:paraId="6E7E34D8" w14:textId="77777777" w:rsidR="007806E2" w:rsidRPr="007806E2" w:rsidRDefault="007806E2" w:rsidP="007806E2">
      <w:pPr>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color w:val="333333"/>
          <w:u w:color="333333"/>
          <w:lang w:val="nl-NL"/>
        </w:rPr>
        <w:t>Bevestigingsschroefdraad: M12x1, continu</w:t>
      </w:r>
    </w:p>
    <w:p w14:paraId="7ABE2885" w14:textId="77777777" w:rsidR="007806E2" w:rsidRPr="007806E2" w:rsidRDefault="007806E2" w:rsidP="007806E2">
      <w:pPr>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color w:val="333333"/>
          <w:u w:color="333333"/>
          <w:lang w:val="nl-NL"/>
        </w:rPr>
        <w:t>Aansluitwijze: voorgemonteerde draden</w:t>
      </w:r>
    </w:p>
    <w:p w14:paraId="6C255F70" w14:textId="77777777" w:rsidR="007806E2" w:rsidRPr="007806E2" w:rsidRDefault="007806E2" w:rsidP="007806E2">
      <w:pPr>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color w:val="333333"/>
          <w:u w:color="333333"/>
          <w:lang w:val="nl-NL"/>
        </w:rPr>
        <w:t>Aangieten en afschermingsplaat verkrijgbaar als opties</w:t>
      </w:r>
    </w:p>
    <w:p w14:paraId="70CB45E5" w14:textId="77777777" w:rsidR="007806E2" w:rsidRPr="007806E2" w:rsidRDefault="007806E2" w:rsidP="007806E2">
      <w:pPr>
        <w:widowControl/>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cs="Arial"/>
          <w:lang w:val="nl-NL"/>
        </w:rPr>
      </w:pPr>
      <w:r w:rsidRPr="007806E2">
        <w:rPr>
          <w:rFonts w:cs="Arial"/>
          <w:color w:val="333333"/>
          <w:u w:color="333333"/>
          <w:lang w:val="nl-NL"/>
        </w:rPr>
        <w:t>Male connector kan in increments van 45° in de huls worden geplaatst</w:t>
      </w:r>
    </w:p>
    <w:p w14:paraId="414545EC" w14:textId="77777777" w:rsidR="007806E2" w:rsidRPr="007806E2" w:rsidRDefault="007806E2" w:rsidP="007806E2">
      <w:pPr>
        <w:widowControl/>
        <w:pBdr>
          <w:top w:val="none" w:sz="0" w:space="0" w:color="auto"/>
          <w:left w:val="none" w:sz="0" w:space="0" w:color="auto"/>
          <w:bottom w:val="none" w:sz="0" w:space="0" w:color="auto"/>
          <w:right w:val="none" w:sz="0" w:space="0" w:color="auto"/>
        </w:pBdr>
        <w:spacing w:line="360" w:lineRule="auto"/>
        <w:rPr>
          <w:rFonts w:eastAsia="Times New Roman" w:cs="Arial"/>
          <w:u w:val="single"/>
          <w:lang w:val="nl-NL"/>
        </w:rPr>
      </w:pPr>
    </w:p>
    <w:p w14:paraId="19983F96"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u w:val="single"/>
          <w:lang w:val="fr-BE"/>
        </w:rPr>
      </w:pPr>
      <w:proofErr w:type="spellStart"/>
      <w:r w:rsidRPr="007806E2">
        <w:rPr>
          <w:rFonts w:cs="Arial"/>
          <w:u w:val="single"/>
        </w:rPr>
        <w:t>Adresinformatie</w:t>
      </w:r>
      <w:proofErr w:type="spellEnd"/>
      <w:r w:rsidRPr="007806E2">
        <w:rPr>
          <w:rFonts w:cs="Arial"/>
          <w:u w:val="single"/>
        </w:rPr>
        <w:t>:</w:t>
      </w:r>
      <w:r w:rsidRPr="007806E2">
        <w:rPr>
          <w:rFonts w:cs="Arial"/>
          <w:u w:val="single"/>
        </w:rPr>
        <w:br/>
      </w:r>
      <w:r w:rsidRPr="007806E2">
        <w:rPr>
          <w:rFonts w:cs="Arial"/>
          <w:noProof/>
        </w:rPr>
        <w:t xml:space="preserve">Franz Binder GmbH &amp; Co. </w:t>
      </w:r>
      <w:r w:rsidRPr="007806E2">
        <w:rPr>
          <w:rFonts w:cs="Arial"/>
          <w:noProof/>
        </w:rPr>
        <w:br/>
        <w:t>Elektrische Bauelemente KG</w:t>
      </w:r>
      <w:r w:rsidRPr="007806E2">
        <w:rPr>
          <w:rFonts w:cs="Arial"/>
          <w:noProof/>
          <w:u w:val="single"/>
        </w:rPr>
        <w:br/>
      </w:r>
      <w:r w:rsidRPr="007806E2">
        <w:rPr>
          <w:rFonts w:cs="Arial"/>
          <w:noProof/>
        </w:rPr>
        <w:t>Rötelstraße 27</w:t>
      </w:r>
      <w:r w:rsidRPr="007806E2">
        <w:rPr>
          <w:rFonts w:cs="Arial"/>
          <w:noProof/>
          <w:u w:val="single"/>
        </w:rPr>
        <w:br/>
      </w:r>
      <w:r w:rsidRPr="007806E2">
        <w:rPr>
          <w:rFonts w:cs="Arial"/>
          <w:noProof/>
        </w:rPr>
        <w:t>74172 Neckarsulm</w:t>
      </w:r>
      <w:r w:rsidRPr="007806E2">
        <w:rPr>
          <w:rFonts w:cs="Arial"/>
          <w:noProof/>
          <w:u w:val="single"/>
        </w:rPr>
        <w:br/>
      </w:r>
      <w:r w:rsidRPr="007806E2">
        <w:rPr>
          <w:rFonts w:cs="Arial"/>
          <w:noProof/>
        </w:rPr>
        <w:t>Tel.</w:t>
      </w:r>
      <w:r w:rsidRPr="007806E2">
        <w:rPr>
          <w:rFonts w:cs="Arial"/>
        </w:rPr>
        <w:t xml:space="preserve"> </w:t>
      </w:r>
      <w:r w:rsidRPr="007806E2">
        <w:rPr>
          <w:rFonts w:cs="Arial"/>
          <w:noProof/>
          <w:lang w:val="fr-BE"/>
        </w:rPr>
        <w:t>+49 (0) 7132 325-0</w:t>
      </w:r>
      <w:r w:rsidRPr="007806E2">
        <w:rPr>
          <w:rFonts w:cs="Arial"/>
          <w:noProof/>
          <w:u w:val="single"/>
          <w:lang w:val="fr-BE"/>
        </w:rPr>
        <w:br/>
      </w:r>
      <w:r w:rsidRPr="007806E2">
        <w:rPr>
          <w:rFonts w:cs="Arial"/>
          <w:noProof/>
          <w:lang w:val="fr-BE"/>
        </w:rPr>
        <w:t>Fax +49 (0) 7132 325-150</w:t>
      </w:r>
      <w:r w:rsidRPr="007806E2">
        <w:rPr>
          <w:rFonts w:cs="Arial"/>
          <w:noProof/>
          <w:u w:val="single"/>
          <w:lang w:val="fr-BE"/>
        </w:rPr>
        <w:br/>
      </w:r>
      <w:r w:rsidRPr="007806E2">
        <w:rPr>
          <w:rFonts w:cs="Arial"/>
          <w:noProof/>
          <w:lang w:val="fr-BE"/>
        </w:rPr>
        <w:t>info@binder-connector.de</w:t>
      </w:r>
      <w:r w:rsidRPr="007806E2">
        <w:rPr>
          <w:rFonts w:cs="Arial"/>
          <w:noProof/>
          <w:u w:val="single"/>
          <w:lang w:val="fr-BE"/>
        </w:rPr>
        <w:br/>
      </w:r>
      <w:r w:rsidRPr="007806E2">
        <w:rPr>
          <w:rFonts w:cs="Arial"/>
          <w:noProof/>
          <w:lang w:val="fr-BE"/>
        </w:rPr>
        <w:t>www.binder-connector.de</w:t>
      </w:r>
      <w:r w:rsidRPr="007806E2">
        <w:rPr>
          <w:rFonts w:cs="Arial"/>
          <w:u w:val="single"/>
          <w:lang w:val="fr-BE"/>
        </w:rPr>
        <w:br/>
      </w:r>
    </w:p>
    <w:p w14:paraId="00CC1099" w14:textId="77777777" w:rsidR="007806E2" w:rsidRPr="007806E2" w:rsidRDefault="007806E2" w:rsidP="007806E2">
      <w:pPr>
        <w:pBdr>
          <w:top w:val="none" w:sz="0" w:space="0" w:color="auto"/>
          <w:left w:val="none" w:sz="0" w:space="0" w:color="auto"/>
          <w:bottom w:val="none" w:sz="0" w:space="0" w:color="auto"/>
          <w:right w:val="none" w:sz="0" w:space="0" w:color="auto"/>
        </w:pBdr>
        <w:spacing w:line="360" w:lineRule="auto"/>
        <w:rPr>
          <w:rStyle w:val="tw4winMark"/>
          <w:rFonts w:cs="Arial"/>
          <w:sz w:val="22"/>
          <w:lang w:val="fr-BE"/>
        </w:rPr>
      </w:pPr>
      <w:proofErr w:type="spellStart"/>
      <w:r w:rsidRPr="007806E2">
        <w:rPr>
          <w:rFonts w:cs="Arial"/>
          <w:u w:val="single"/>
          <w:lang w:val="fr-BE"/>
        </w:rPr>
        <w:t>Perscontactpersoon</w:t>
      </w:r>
      <w:proofErr w:type="spellEnd"/>
      <w:r w:rsidRPr="007806E2">
        <w:rPr>
          <w:rFonts w:cs="Arial"/>
          <w:u w:val="single"/>
          <w:lang w:val="fr-BE"/>
        </w:rPr>
        <w:t>:</w:t>
      </w:r>
    </w:p>
    <w:p w14:paraId="24CA2AC8" w14:textId="672C2997" w:rsidR="00DF7E44" w:rsidRPr="007806E2" w:rsidRDefault="007806E2" w:rsidP="007806E2">
      <w:pPr>
        <w:pBdr>
          <w:top w:val="none" w:sz="0" w:space="0" w:color="auto"/>
          <w:left w:val="none" w:sz="0" w:space="0" w:color="auto"/>
          <w:bottom w:val="none" w:sz="0" w:space="0" w:color="auto"/>
          <w:right w:val="none" w:sz="0" w:space="0" w:color="auto"/>
        </w:pBdr>
        <w:spacing w:line="360" w:lineRule="auto"/>
        <w:rPr>
          <w:rFonts w:cs="Arial"/>
          <w:b/>
          <w:lang w:val="it-IT"/>
        </w:rPr>
      </w:pPr>
      <w:r w:rsidRPr="00F066DF">
        <w:rPr>
          <w:rStyle w:val="tw4winMark"/>
          <w:rFonts w:cs="Arial"/>
          <w:sz w:val="22"/>
          <w:lang w:val="it-IT"/>
        </w:rPr>
        <w:br/>
      </w:r>
      <w:r w:rsidRPr="00F066DF">
        <w:rPr>
          <w:rFonts w:cs="Arial"/>
          <w:u w:val="single"/>
          <w:lang w:val="it-IT"/>
        </w:rPr>
        <w:br/>
      </w:r>
      <w:r w:rsidRPr="007806E2">
        <w:rPr>
          <w:rFonts w:cs="Arial"/>
          <w:noProof/>
          <w:lang w:val="it-IT"/>
        </w:rPr>
        <w:t>Milica Ilic</w:t>
      </w:r>
      <w:r w:rsidRPr="007806E2">
        <w:rPr>
          <w:rFonts w:cs="Arial"/>
          <w:noProof/>
          <w:u w:val="single"/>
          <w:lang w:val="it-IT"/>
        </w:rPr>
        <w:br/>
      </w:r>
      <w:r w:rsidRPr="007806E2">
        <w:rPr>
          <w:rFonts w:cs="Arial"/>
          <w:noProof/>
          <w:lang w:val="it-IT"/>
        </w:rPr>
        <w:t>Tel.</w:t>
      </w:r>
      <w:r w:rsidRPr="007806E2">
        <w:rPr>
          <w:rFonts w:cs="Arial"/>
          <w:lang w:val="it-IT"/>
        </w:rPr>
        <w:t xml:space="preserve"> </w:t>
      </w:r>
      <w:r w:rsidRPr="007806E2">
        <w:rPr>
          <w:rFonts w:cs="Arial"/>
          <w:noProof/>
          <w:lang w:val="it-IT"/>
        </w:rPr>
        <w:t>+49 (0) 7132 325-493</w:t>
      </w:r>
      <w:r w:rsidRPr="007806E2">
        <w:rPr>
          <w:rFonts w:cs="Arial"/>
          <w:noProof/>
          <w:u w:val="single"/>
          <w:lang w:val="it-IT"/>
        </w:rPr>
        <w:br/>
      </w:r>
      <w:r w:rsidRPr="007806E2">
        <w:rPr>
          <w:rFonts w:cs="Arial"/>
          <w:noProof/>
          <w:lang w:val="it-IT"/>
        </w:rPr>
        <w:t xml:space="preserve">E-Mail </w:t>
      </w:r>
      <w:r w:rsidRPr="00F066DF">
        <w:rPr>
          <w:rFonts w:cs="Arial"/>
          <w:noProof/>
          <w:lang w:val="it-IT"/>
        </w:rPr>
        <w:t>m.ilic@binder-connector.de</w:t>
      </w:r>
      <w:bookmarkStart w:id="0" w:name="_GoBack"/>
      <w:bookmarkEnd w:id="0"/>
    </w:p>
    <w:sectPr w:rsidR="00DF7E44" w:rsidRPr="007806E2">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4"/>
    <w:lvl w:ilvl="0">
      <w:start w:val="1"/>
      <w:numFmt w:val="bullet"/>
      <w:lvlText w:val="·"/>
      <w:lvlJc w:val="left"/>
      <w:pPr>
        <w:tabs>
          <w:tab w:val="num" w:pos="0"/>
        </w:tabs>
        <w:ind w:left="36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08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18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52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24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396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468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4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12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abstractNum>
  <w:abstractNum w:abstractNumId="1" w15:restartNumberingAfterBreak="0">
    <w:nsid w:val="00000002"/>
    <w:multiLevelType w:val="multilevel"/>
    <w:tmpl w:val="00000002"/>
    <w:name w:val="WWNum15"/>
    <w:lvl w:ilvl="0">
      <w:start w:val="1"/>
      <w:numFmt w:val="bullet"/>
      <w:lvlText w:val="·"/>
      <w:lvlJc w:val="left"/>
      <w:pPr>
        <w:tabs>
          <w:tab w:val="num" w:pos="0"/>
        </w:tabs>
        <w:ind w:left="36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108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18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52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24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396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4680" w:hanging="360"/>
      </w:pPr>
      <w:rPr>
        <w:rFonts w:ascii="Symbol" w:hAnsi="Symbol"/>
        <w:b w:val="0"/>
        <w:i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40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120" w:hanging="360"/>
      </w:pPr>
      <w:rPr>
        <w:rFonts w:ascii="Arial Unicode MS" w:eastAsia="Arial Unicode MS"/>
        <w:b w:val="0"/>
        <w:i w:val="0"/>
        <w:caps w:val="0"/>
        <w:smallCaps w:val="0"/>
        <w:strike w:val="0"/>
        <w:dstrike w:val="0"/>
        <w:outline w:val="0"/>
        <w:emboss w:val="0"/>
        <w:imprint w:val="0"/>
        <w:spacing w:val="0"/>
        <w:w w:val="100"/>
        <w:kern w:val="0"/>
        <w:position w:val="0"/>
        <w:sz w:val="22"/>
        <w:vertAlign w:val="baseline"/>
      </w:rPr>
    </w:lvl>
  </w:abstractNum>
  <w:abstractNum w:abstractNumId="2" w15:restartNumberingAfterBreak="0">
    <w:nsid w:val="008F24C0"/>
    <w:multiLevelType w:val="hybridMultilevel"/>
    <w:tmpl w:val="D35C22A8"/>
    <w:numStyleLink w:val="ImportierterStil2"/>
  </w:abstractNum>
  <w:abstractNum w:abstractNumId="3" w15:restartNumberingAfterBreak="0">
    <w:nsid w:val="00CD5731"/>
    <w:multiLevelType w:val="hybridMultilevel"/>
    <w:tmpl w:val="D18091E0"/>
    <w:numStyleLink w:val="ImportierterStil1"/>
  </w:abstractNum>
  <w:abstractNum w:abstractNumId="4"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3E75CC"/>
    <w:multiLevelType w:val="hybridMultilevel"/>
    <w:tmpl w:val="D35C22A8"/>
    <w:numStyleLink w:val="ImportierterStil2"/>
  </w:abstractNum>
  <w:abstractNum w:abstractNumId="8" w15:restartNumberingAfterBreak="0">
    <w:nsid w:val="331C01E7"/>
    <w:multiLevelType w:val="hybridMultilevel"/>
    <w:tmpl w:val="D18091E0"/>
    <w:numStyleLink w:val="ImportierterStil1"/>
  </w:abstractNum>
  <w:abstractNum w:abstractNumId="9"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045D93"/>
    <w:multiLevelType w:val="hybridMultilevel"/>
    <w:tmpl w:val="D18091E0"/>
    <w:numStyleLink w:val="ImportierterStil1"/>
  </w:abstractNum>
  <w:abstractNum w:abstractNumId="11" w15:restartNumberingAfterBreak="0">
    <w:nsid w:val="5256692F"/>
    <w:multiLevelType w:val="hybridMultilevel"/>
    <w:tmpl w:val="D35C22A8"/>
    <w:numStyleLink w:val="ImportierterStil2"/>
  </w:abstractNum>
  <w:abstractNum w:abstractNumId="12" w15:restartNumberingAfterBreak="0">
    <w:nsid w:val="6BC40077"/>
    <w:multiLevelType w:val="hybridMultilevel"/>
    <w:tmpl w:val="D35C22A8"/>
    <w:numStyleLink w:val="ImportierterStil2"/>
  </w:abstractNum>
  <w:abstractNum w:abstractNumId="13" w15:restartNumberingAfterBreak="0">
    <w:nsid w:val="6D442052"/>
    <w:multiLevelType w:val="hybridMultilevel"/>
    <w:tmpl w:val="D35C22A8"/>
    <w:numStyleLink w:val="ImportierterStil2"/>
  </w:abstractNum>
  <w:abstractNum w:abstractNumId="14" w15:restartNumberingAfterBreak="0">
    <w:nsid w:val="70E55285"/>
    <w:multiLevelType w:val="hybridMultilevel"/>
    <w:tmpl w:val="D35C22A8"/>
    <w:numStyleLink w:val="ImportierterStil2"/>
  </w:abstractNum>
  <w:num w:numId="1">
    <w:abstractNumId w:val="5"/>
  </w:num>
  <w:num w:numId="2">
    <w:abstractNumId w:val="8"/>
  </w:num>
  <w:num w:numId="3">
    <w:abstractNumId w:val="9"/>
  </w:num>
  <w:num w:numId="4">
    <w:abstractNumId w:val="4"/>
  </w:num>
  <w:num w:numId="5">
    <w:abstractNumId w:val="11"/>
  </w:num>
  <w:num w:numId="6">
    <w:abstractNumId w:val="3"/>
  </w:num>
  <w:num w:numId="7">
    <w:abstractNumId w:val="2"/>
  </w:num>
  <w:num w:numId="8">
    <w:abstractNumId w:val="10"/>
  </w:num>
  <w:num w:numId="9">
    <w:abstractNumId w:val="14"/>
  </w:num>
  <w:num w:numId="10">
    <w:abstractNumId w:val="7"/>
  </w:num>
  <w:num w:numId="11">
    <w:abstractNumId w:val="6"/>
  </w:num>
  <w:num w:numId="12">
    <w:abstractNumId w:val="12"/>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A5F68"/>
    <w:rsid w:val="002F673B"/>
    <w:rsid w:val="0038694E"/>
    <w:rsid w:val="003E33B7"/>
    <w:rsid w:val="00417547"/>
    <w:rsid w:val="00437865"/>
    <w:rsid w:val="00451452"/>
    <w:rsid w:val="00467D54"/>
    <w:rsid w:val="00477CD8"/>
    <w:rsid w:val="004A6A89"/>
    <w:rsid w:val="004B5C5C"/>
    <w:rsid w:val="005955DF"/>
    <w:rsid w:val="005D6047"/>
    <w:rsid w:val="005F4CB9"/>
    <w:rsid w:val="00692B4D"/>
    <w:rsid w:val="006E730F"/>
    <w:rsid w:val="006F63B0"/>
    <w:rsid w:val="007504C3"/>
    <w:rsid w:val="007564CA"/>
    <w:rsid w:val="007806E2"/>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C7536"/>
    <w:rsid w:val="00D320DF"/>
    <w:rsid w:val="00D32464"/>
    <w:rsid w:val="00D94B8C"/>
    <w:rsid w:val="00DF7E44"/>
    <w:rsid w:val="00E10886"/>
    <w:rsid w:val="00E90783"/>
    <w:rsid w:val="00ED1F5A"/>
    <w:rsid w:val="00EE2C67"/>
    <w:rsid w:val="00F03979"/>
    <w:rsid w:val="00F066DF"/>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kst">
    <w:name w:val="Tekst"/>
    <w:rsid w:val="007806E2"/>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ascii="Helvetica Neue" w:hAnsi="Helvetica Neue" w:cs="Arial Unicode MS"/>
      <w:snapToGrid w:val="0"/>
      <w:color w:val="000000"/>
      <w:sz w:val="22"/>
      <w:szCs w:val="22"/>
      <w:bdr w:val="none" w:sz="0" w:space="0" w:color="auto"/>
      <w:lang w:eastAsia="nl-NL"/>
    </w:rPr>
  </w:style>
  <w:style w:type="character" w:customStyle="1" w:styleId="tw4winMark">
    <w:name w:val="tw4winMark"/>
    <w:uiPriority w:val="99"/>
    <w:rsid w:val="007806E2"/>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25</cp:revision>
  <dcterms:created xsi:type="dcterms:W3CDTF">2024-03-14T15:49:00Z</dcterms:created>
  <dcterms:modified xsi:type="dcterms:W3CDTF">2024-05-28T06:51:00Z</dcterms:modified>
</cp:coreProperties>
</file>