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5AEE" w14:textId="77777777" w:rsidR="000F0BFF" w:rsidRPr="00C93736" w:rsidRDefault="002F4878" w:rsidP="003A348E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 w:rsidRPr="00155932">
        <w:rPr>
          <w:rFonts w:ascii="Arial" w:hAnsi="Arial" w:cs="Arial"/>
          <w:noProof/>
          <w:sz w:val="18"/>
          <w:szCs w:val="18"/>
          <w:lang w:val="it-IT"/>
        </w:rPr>
        <w:t>Neckarsulm (Germania), 29 febbraio 2024</w:t>
      </w:r>
    </w:p>
    <w:p w14:paraId="625F388C" w14:textId="77777777" w:rsidR="003A348E" w:rsidRPr="00C93736" w:rsidRDefault="002F4878" w:rsidP="003A348E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 w:rsidRPr="007D2DEA">
        <w:rPr>
          <w:rFonts w:ascii="Arial" w:hAnsi="Arial" w:cs="Arial"/>
          <w:noProof/>
          <w:u w:val="single"/>
          <w:lang w:val="it-IT"/>
        </w:rPr>
        <w:t>Serie 709/719: il portafoglio di connettori inseribili a scatto ora presenta un nuovo modello realizzato per sovrastampaggio</w:t>
      </w:r>
    </w:p>
    <w:p w14:paraId="7A0935C3" w14:textId="77777777" w:rsidR="003A348E" w:rsidRPr="00C93736" w:rsidRDefault="002F4878" w:rsidP="003A348E">
      <w:pPr>
        <w:pStyle w:val="TextA"/>
        <w:spacing w:line="360" w:lineRule="auto"/>
        <w:rPr>
          <w:rFonts w:ascii="Arial" w:eastAsia="Calibri" w:hAnsi="Arial" w:cs="Arial"/>
          <w:b/>
          <w:noProof/>
          <w:sz w:val="32"/>
          <w:lang w:val="it-IT"/>
        </w:rPr>
      </w:pPr>
      <w:r w:rsidRPr="007D2DEA">
        <w:rPr>
          <w:rFonts w:ascii="Arial" w:hAnsi="Arial" w:cs="Arial"/>
          <w:b/>
          <w:bCs/>
          <w:noProof/>
          <w:sz w:val="32"/>
          <w:lang w:val="it-IT"/>
        </w:rPr>
        <w:t>Sicuri per l’uso e a prova di contaminazione</w:t>
      </w:r>
    </w:p>
    <w:p w14:paraId="4E60710D" w14:textId="77777777" w:rsidR="000F0BFF" w:rsidRPr="00C93736" w:rsidRDefault="000F0BFF" w:rsidP="007D2DEA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64DDD943" w14:textId="77777777" w:rsidR="000F0BFF" w:rsidRPr="00C93736" w:rsidRDefault="002F4878" w:rsidP="007D2DEA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7D2DEA">
        <w:rPr>
          <w:rFonts w:ascii="Arial" w:hAnsi="Arial" w:cs="Arial"/>
          <w:b/>
          <w:bCs/>
          <w:noProof/>
          <w:color w:val="auto"/>
          <w:lang w:val="it-IT"/>
        </w:rPr>
        <w:t xml:space="preserve">Per vari dispositivi palmari e di dosatura </w:t>
      </w:r>
      <w:r w:rsidRPr="007D2DEA">
        <w:rPr>
          <w:rFonts w:ascii="Arial" w:hAnsi="Arial" w:cs="Arial"/>
          <w:b/>
          <w:bCs/>
          <w:noProof/>
          <w:color w:val="auto"/>
          <w:lang w:val="it-IT"/>
        </w:rPr>
        <w:t>impiegati in applicazioni in cui l’igiene è cruciale, come ad esempi in apparecchiature mediche, si richiedono esecuzioni ottimizzate per l’uso in sicurezza oltre che altamente resistenti alla sporcizia e a tal fine binder ha aggiunto alle serie di connett</w:t>
      </w:r>
      <w:r w:rsidRPr="007D2DEA">
        <w:rPr>
          <w:rFonts w:ascii="Arial" w:hAnsi="Arial" w:cs="Arial"/>
          <w:b/>
          <w:bCs/>
          <w:noProof/>
          <w:color w:val="auto"/>
          <w:lang w:val="it-IT"/>
        </w:rPr>
        <w:t>ori inseribili a scatto 709 e 719 un nuovo modello realizzato per sovrastampaggio che può essere accoppiato e disaccoppiato con una mano sola e inoltre ha resistenza superiore alla contaminazione.</w:t>
      </w:r>
    </w:p>
    <w:p w14:paraId="2DE4BB81" w14:textId="77777777" w:rsidR="000F0BFF" w:rsidRPr="00C93736" w:rsidRDefault="000F0BFF" w:rsidP="007D2DEA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</w:p>
    <w:p w14:paraId="3AFA0760" w14:textId="77777777" w:rsidR="003A348E" w:rsidRPr="00C93736" w:rsidRDefault="002F4878" w:rsidP="007D2DEA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7D2DEA">
        <w:rPr>
          <w:rFonts w:ascii="Arial" w:hAnsi="Arial" w:cs="Arial"/>
          <w:noProof/>
          <w:color w:val="auto"/>
          <w:lang w:val="it-IT"/>
        </w:rPr>
        <w:t>binder, uno dei principali produttori di connettori cilind</w:t>
      </w:r>
      <w:r w:rsidRPr="007D2DEA">
        <w:rPr>
          <w:rFonts w:ascii="Arial" w:hAnsi="Arial" w:cs="Arial"/>
          <w:noProof/>
          <w:color w:val="auto"/>
          <w:lang w:val="it-IT"/>
        </w:rPr>
        <w:t>rici industriali, ora offre le versioni diritte dei modelli serie 709 e 719 realizzate anche per sovrastampaggio. I connettori inseribili a scatto sono caratterizzati da elevate forze di bloccaggio – misurate in funzione delle dimensioni – ma possono ancor</w:t>
      </w:r>
      <w:r w:rsidRPr="007D2DEA">
        <w:rPr>
          <w:rFonts w:ascii="Arial" w:hAnsi="Arial" w:cs="Arial"/>
          <w:noProof/>
          <w:color w:val="auto"/>
          <w:lang w:val="it-IT"/>
        </w:rPr>
        <w:t>a essere accoppiati e disaccoppiati velocemente. Queste caratteristiche sono vantaggiose, per esempio, in applicazioni di metrologia e di tecnologia dei dispositivi medici, in cui occorre rispondere a requisiti più complessi per quanto riguarda la sicurezz</w:t>
      </w:r>
      <w:r w:rsidRPr="007D2DEA">
        <w:rPr>
          <w:rFonts w:ascii="Arial" w:hAnsi="Arial" w:cs="Arial"/>
          <w:noProof/>
          <w:color w:val="auto"/>
          <w:lang w:val="it-IT"/>
        </w:rPr>
        <w:t>a funzionale.</w:t>
      </w:r>
    </w:p>
    <w:p w14:paraId="24F9BA9B" w14:textId="77777777" w:rsidR="003A348E" w:rsidRPr="00C93736" w:rsidRDefault="003A348E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1B787FC9" w14:textId="77777777" w:rsidR="007D2DEA" w:rsidRPr="00C93736" w:rsidRDefault="002F4878" w:rsidP="007D2DEA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7D2DEA">
        <w:rPr>
          <w:rFonts w:ascii="Arial" w:hAnsi="Arial" w:cs="Arial"/>
          <w:b/>
          <w:bCs/>
          <w:noProof/>
          <w:color w:val="auto"/>
          <w:lang w:val="it-IT"/>
        </w:rPr>
        <w:t>Caratteristiche di sicurezza migliorate</w:t>
      </w:r>
      <w:r w:rsidRPr="007D2DEA">
        <w:rPr>
          <w:rFonts w:ascii="Arial" w:hAnsi="Arial" w:cs="Arial"/>
          <w:noProof/>
          <w:color w:val="auto"/>
          <w:lang w:val="it-IT"/>
        </w:rPr>
        <w:t xml:space="preserve"> </w:t>
      </w:r>
    </w:p>
    <w:p w14:paraId="78CB13B0" w14:textId="4AF3746F" w:rsidR="007D2DEA" w:rsidRPr="00C93736" w:rsidRDefault="002F4878" w:rsidP="007D2DEA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7D2DEA">
        <w:rPr>
          <w:rFonts w:ascii="Arial" w:hAnsi="Arial" w:cs="Arial"/>
          <w:noProof/>
          <w:color w:val="auto"/>
          <w:lang w:val="it-IT"/>
        </w:rPr>
        <w:t>Sia nel campo della tecnologia medica che in quello della strumentazione spesso è importante proteggere i dispositivi e le relative interfacce contro la contaminazione ambientale, per cui gli ingegneri binder hanno sviluppato una versione realizzata per so</w:t>
      </w:r>
      <w:r w:rsidRPr="007D2DEA">
        <w:rPr>
          <w:rFonts w:ascii="Arial" w:hAnsi="Arial" w:cs="Arial"/>
          <w:noProof/>
          <w:color w:val="auto"/>
          <w:lang w:val="it-IT"/>
        </w:rPr>
        <w:t xml:space="preserve">vrastampaggio </w:t>
      </w:r>
      <w:r w:rsidR="00013EDB">
        <w:rPr>
          <w:rFonts w:ascii="Arial" w:hAnsi="Arial" w:cs="Arial"/>
          <w:noProof/>
          <w:color w:val="auto"/>
          <w:lang w:val="it-IT"/>
        </w:rPr>
        <w:t xml:space="preserve">a profilo </w:t>
      </w:r>
      <w:r w:rsidRPr="007D2DEA">
        <w:rPr>
          <w:rFonts w:ascii="Arial" w:hAnsi="Arial" w:cs="Arial"/>
          <w:noProof/>
          <w:color w:val="auto"/>
          <w:lang w:val="it-IT"/>
        </w:rPr>
        <w:t>triangolare che non presenta scanalature, incavi o intervalli che interrompano la continuità del materiale e che potrebbero consentire alla polvere di accumularsi. Risulta così aumentata notevolmente la resistenza alla contaminazion</w:t>
      </w:r>
      <w:r w:rsidRPr="007D2DEA">
        <w:rPr>
          <w:rFonts w:ascii="Arial" w:hAnsi="Arial" w:cs="Arial"/>
          <w:noProof/>
          <w:color w:val="auto"/>
          <w:lang w:val="it-IT"/>
        </w:rPr>
        <w:t>e nel sistema in cui il connettore è impiegato. Inoltre, è molto facile maneggiare le varianti diritte grazie al nuovo tipo di sovrastampaggio, per cui l’accoppiamento e il disaccoppiamento sono eseguibili in tutta sicurezza e comodità con una sola mano.</w:t>
      </w:r>
    </w:p>
    <w:p w14:paraId="21BF46B1" w14:textId="77777777" w:rsidR="003A348E" w:rsidRPr="00C93736" w:rsidRDefault="002F4878" w:rsidP="007D2DEA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B174CD">
        <w:rPr>
          <w:rFonts w:ascii="Arial" w:hAnsi="Arial" w:cs="Arial"/>
          <w:noProof/>
          <w:color w:val="auto"/>
          <w:lang w:val="it-IT"/>
        </w:rPr>
        <w:t>N</w:t>
      </w:r>
      <w:r w:rsidRPr="00B174CD">
        <w:rPr>
          <w:rFonts w:ascii="Arial" w:hAnsi="Arial" w:cs="Arial"/>
          <w:noProof/>
          <w:color w:val="auto"/>
          <w:lang w:val="it-IT"/>
        </w:rPr>
        <w:t>el realizzare la nuova versione per sovrastampaggio, i progettisti binder sono riusciti a mantenere le caratteristiche allo stesso livello elevato delle versioni precedenti, nonostante l’assenza di una protezione speciale contro le torsioni nella nuova ver</w:t>
      </w:r>
      <w:r w:rsidRPr="00B174CD">
        <w:rPr>
          <w:rFonts w:ascii="Arial" w:hAnsi="Arial" w:cs="Arial"/>
          <w:noProof/>
          <w:color w:val="auto"/>
          <w:lang w:val="it-IT"/>
        </w:rPr>
        <w:t>sione. Una protezione contro le torsioni fa sì che i trefoli non si spezzano se sottoposti a sollecitazioni meccaniche eccessive quando il cavo si attorciglia. Ciò è stato dimostrato preliminarmente mediante prove di torsione.</w:t>
      </w:r>
    </w:p>
    <w:p w14:paraId="4207C29A" w14:textId="4AE1C4C8" w:rsidR="003A348E" w:rsidRDefault="003A348E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524711F5" w14:textId="77777777" w:rsidR="002F4878" w:rsidRPr="00C93736" w:rsidRDefault="002F4878" w:rsidP="003A348E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3EC160AB" w14:textId="77777777" w:rsidR="007D2DEA" w:rsidRPr="00C93736" w:rsidRDefault="002F4878" w:rsidP="007D2DEA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7D2DEA">
        <w:rPr>
          <w:rFonts w:ascii="Arial" w:hAnsi="Arial" w:cs="Arial"/>
          <w:b/>
          <w:bCs/>
          <w:noProof/>
          <w:color w:val="auto"/>
          <w:lang w:val="it-IT"/>
        </w:rPr>
        <w:lastRenderedPageBreak/>
        <w:t>Panoramica sulla serie di pr</w:t>
      </w:r>
      <w:r w:rsidRPr="007D2DEA">
        <w:rPr>
          <w:rFonts w:ascii="Arial" w:hAnsi="Arial" w:cs="Arial"/>
          <w:b/>
          <w:bCs/>
          <w:noProof/>
          <w:color w:val="auto"/>
          <w:lang w:val="it-IT"/>
        </w:rPr>
        <w:t>odotti</w:t>
      </w:r>
    </w:p>
    <w:p w14:paraId="1BA647FB" w14:textId="10B32CD0" w:rsidR="003A348E" w:rsidRPr="00C93736" w:rsidRDefault="002F4878" w:rsidP="007D2DEA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7D2DEA">
        <w:rPr>
          <w:rFonts w:ascii="Arial" w:hAnsi="Arial" w:cs="Arial"/>
          <w:noProof/>
          <w:color w:val="auto"/>
          <w:lang w:val="it-IT"/>
        </w:rPr>
        <w:t xml:space="preserve">Le serie di connettori inseribili a scatto 709 e 719 offrono i vantaggi di un meccanismo di bloccaggio rapido e sicuro che applica forze elevate di </w:t>
      </w:r>
      <w:r w:rsidR="009E7BC0">
        <w:rPr>
          <w:rFonts w:ascii="Arial" w:hAnsi="Arial" w:cs="Arial"/>
          <w:noProof/>
          <w:color w:val="auto"/>
          <w:lang w:val="it-IT"/>
        </w:rPr>
        <w:t>immobilizzazione</w:t>
      </w:r>
      <w:r w:rsidRPr="007D2DEA">
        <w:rPr>
          <w:rFonts w:ascii="Arial" w:hAnsi="Arial" w:cs="Arial"/>
          <w:noProof/>
          <w:color w:val="auto"/>
          <w:lang w:val="it-IT"/>
        </w:rPr>
        <w:t>. I prodotti sono disponibili sotto forma di connettori per cavi sia maschio che femm</w:t>
      </w:r>
      <w:r w:rsidRPr="007D2DEA">
        <w:rPr>
          <w:rFonts w:ascii="Arial" w:hAnsi="Arial" w:cs="Arial"/>
          <w:noProof/>
          <w:color w:val="auto"/>
          <w:lang w:val="it-IT"/>
        </w:rPr>
        <w:t>ina, con o senza pressacavo, a 3, 4 o 5 poli, per sezioni dei cavi fino a 0,25 mm² (AWG 24) e terminazione eseguibile per normale brasatura o per brasatura a immersione. Offrono grado di protezione IP40 e durata meccanica di almeno 100 cicli di accoppiamen</w:t>
      </w:r>
      <w:r w:rsidRPr="007D2DEA">
        <w:rPr>
          <w:rFonts w:ascii="Arial" w:hAnsi="Arial" w:cs="Arial"/>
          <w:noProof/>
          <w:color w:val="auto"/>
          <w:lang w:val="it-IT"/>
        </w:rPr>
        <w:t>to.</w:t>
      </w:r>
    </w:p>
    <w:p w14:paraId="2D5C6655" w14:textId="77777777" w:rsidR="00C93736" w:rsidRDefault="00C93736" w:rsidP="002F4878">
      <w:pPr>
        <w:pStyle w:val="TextA"/>
        <w:spacing w:line="360" w:lineRule="auto"/>
        <w:rPr>
          <w:rFonts w:ascii="Arial" w:hAnsi="Arial" w:cs="Arial"/>
          <w:b/>
          <w:bCs/>
          <w:lang w:val="it-IT"/>
        </w:rPr>
      </w:pPr>
    </w:p>
    <w:p w14:paraId="4CCEA205" w14:textId="77777777" w:rsidR="00C93736" w:rsidRPr="002F5F43" w:rsidRDefault="00C93736" w:rsidP="00C93736">
      <w:pPr>
        <w:pStyle w:val="TextA"/>
        <w:spacing w:after="200" w:line="360" w:lineRule="auto"/>
        <w:rPr>
          <w:rFonts w:ascii="Arial" w:eastAsia="Calibri" w:hAnsi="Arial" w:cs="Arial"/>
          <w:lang w:val="it-IT"/>
        </w:rPr>
      </w:pPr>
      <w:r w:rsidRPr="002F5F43">
        <w:rPr>
          <w:rFonts w:ascii="Arial" w:hAnsi="Arial" w:cs="Arial"/>
          <w:b/>
          <w:bCs/>
          <w:lang w:val="it-IT"/>
        </w:rPr>
        <w:t>Profilo di binder</w:t>
      </w:r>
      <w:r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Pr="0076446C">
        <w:rPr>
          <w:rFonts w:ascii="Arial" w:hAnsi="Arial" w:cs="Arial"/>
          <w:lang w:val="it-IT"/>
        </w:rPr>
        <w:t>binder</w:t>
      </w:r>
      <w:proofErr w:type="spellEnd"/>
      <w:r w:rsidRPr="0076446C">
        <w:rPr>
          <w:rFonts w:ascii="Arial" w:hAnsi="Arial" w:cs="Arial"/>
          <w:lang w:val="it-IT"/>
        </w:rPr>
        <w:t>,</w:t>
      </w:r>
      <w:r w:rsidRPr="002F5F43">
        <w:rPr>
          <w:rFonts w:ascii="Arial" w:hAnsi="Arial" w:cs="Arial"/>
          <w:lang w:val="it-IT"/>
        </w:rPr>
        <w:t xml:space="preserve">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55242314" w14:textId="5E73EEB9" w:rsidR="000F0BFF" w:rsidRPr="00C93736" w:rsidRDefault="00C93736" w:rsidP="00C93736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  <w:r w:rsidRPr="002F5F43">
        <w:rPr>
          <w:rFonts w:ascii="Arial" w:hAnsi="Arial" w:cs="Arial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</w:p>
    <w:p w14:paraId="66628743" w14:textId="77777777" w:rsidR="00B174CD" w:rsidRPr="00C93736" w:rsidRDefault="00B174CD" w:rsidP="002F4878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6CEBFCBD" w14:textId="77777777" w:rsidR="000F0BFF" w:rsidRPr="00C93736" w:rsidRDefault="002F4878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it-IT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Didascalia</w:t>
      </w:r>
    </w:p>
    <w:p w14:paraId="344BD1FA" w14:textId="77777777" w:rsidR="000F0BFF" w:rsidRDefault="002F4878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La nuova versione realizzata per sovrastampaggio migliora sia la resistenza alla contaminazione che la sicurezza operativa. Foto: binder</w:t>
      </w:r>
    </w:p>
    <w:p w14:paraId="5BC32C46" w14:textId="77777777" w:rsidR="000F0BFF" w:rsidRDefault="000F0BFF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69866C11" w14:textId="77777777" w:rsidR="003A348E" w:rsidRPr="00FF2167" w:rsidRDefault="002F4878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Campi di impiego</w:t>
      </w:r>
    </w:p>
    <w:p w14:paraId="64ECC4EE" w14:textId="77777777" w:rsidR="00844AA9" w:rsidRPr="00844AA9" w:rsidRDefault="002F4878" w:rsidP="00844AA9">
      <w:pPr>
        <w:pStyle w:val="Listenabsatz"/>
        <w:widowControl/>
        <w:numPr>
          <w:ilvl w:val="0"/>
          <w:numId w:val="11"/>
        </w:numPr>
        <w:spacing w:line="360" w:lineRule="auto"/>
        <w:rPr>
          <w:rFonts w:ascii="Arial" w:hAnsi="Arial" w:cs="Arial"/>
          <w:lang w:val="en-GB"/>
        </w:rPr>
      </w:pPr>
      <w:r w:rsidRPr="00844AA9">
        <w:rPr>
          <w:rFonts w:ascii="Arial" w:hAnsi="Arial" w:cs="Arial"/>
          <w:lang w:val="it-IT"/>
        </w:rPr>
        <w:t>Strumentazione e tecnologia delle misure</w:t>
      </w:r>
    </w:p>
    <w:p w14:paraId="6A4BC8DB" w14:textId="77777777" w:rsidR="003A348E" w:rsidRPr="000E26B2" w:rsidRDefault="002F4878" w:rsidP="00844AA9">
      <w:pPr>
        <w:pStyle w:val="Listenabsatz"/>
        <w:widowControl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44AA9">
        <w:rPr>
          <w:rFonts w:ascii="Arial" w:hAnsi="Arial" w:cs="Arial"/>
          <w:lang w:val="it-IT"/>
        </w:rPr>
        <w:t>Tecnologia dei dispositivi medici</w:t>
      </w:r>
    </w:p>
    <w:p w14:paraId="7865770F" w14:textId="77777777" w:rsidR="003A348E" w:rsidRPr="00FF2167" w:rsidRDefault="003A348E" w:rsidP="003A348E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6795842A" w14:textId="77777777" w:rsidR="003A348E" w:rsidRPr="00FF2167" w:rsidRDefault="002F4878" w:rsidP="003A348E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Caratteristiche</w:t>
      </w:r>
    </w:p>
    <w:p w14:paraId="6DFC3A10" w14:textId="77777777" w:rsidR="00844AA9" w:rsidRPr="00844AA9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Grado di</w:t>
      </w: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 xml:space="preserve"> protezione: IP40</w:t>
      </w:r>
    </w:p>
    <w:p w14:paraId="004C6CDB" w14:textId="77777777" w:rsidR="00844AA9" w:rsidRPr="00C93736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Numero di pin: da 3 a 5</w:t>
      </w:r>
    </w:p>
    <w:p w14:paraId="0EF8B68C" w14:textId="77777777" w:rsidR="00844AA9" w:rsidRPr="00C93736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Terminazione: normale brasatura o brasatura a immersione</w:t>
      </w:r>
    </w:p>
    <w:p w14:paraId="767FDA0C" w14:textId="77777777" w:rsidR="00844AA9" w:rsidRPr="00844AA9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Tensione nominale: 60 V</w:t>
      </w:r>
    </w:p>
    <w:p w14:paraId="21DCE79E" w14:textId="77777777" w:rsidR="00844AA9" w:rsidRPr="00844AA9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Corrente nominale: 3 A</w:t>
      </w:r>
    </w:p>
    <w:p w14:paraId="32AE5B9C" w14:textId="77777777" w:rsidR="00844AA9" w:rsidRPr="00C93736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Range della temperatura di funzionamento: da -25 a +70 °C</w:t>
      </w:r>
    </w:p>
    <w:p w14:paraId="65FD46E3" w14:textId="77777777" w:rsidR="003A348E" w:rsidRPr="00FF2167" w:rsidRDefault="002F4878" w:rsidP="00844AA9">
      <w:pPr>
        <w:pStyle w:val="Standard1"/>
        <w:numPr>
          <w:ilvl w:val="0"/>
          <w:numId w:val="9"/>
        </w:numPr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844AA9">
        <w:rPr>
          <w:rFonts w:ascii="Arial" w:hAnsi="Arial" w:cs="Arial"/>
          <w:noProof/>
          <w:color w:val="auto"/>
          <w:sz w:val="22"/>
          <w:szCs w:val="22"/>
          <w:lang w:val="it-IT"/>
        </w:rPr>
        <w:t>Durata &gt; 100 cicli di accoppiamento</w:t>
      </w:r>
    </w:p>
    <w:p w14:paraId="58B6E3AF" w14:textId="20523944" w:rsidR="00C93736" w:rsidRDefault="00C93736" w:rsidP="00C93736">
      <w:pPr>
        <w:widowControl/>
        <w:rPr>
          <w:rFonts w:eastAsia="Helvetica Neue" w:cs="Arial"/>
          <w:noProof/>
          <w:color w:val="auto"/>
          <w:u w:val="single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4989A9" w14:textId="77777777" w:rsidR="00C93736" w:rsidRPr="001367A8" w:rsidRDefault="00C93736" w:rsidP="00C93736">
      <w:pPr>
        <w:spacing w:line="360" w:lineRule="auto"/>
        <w:rPr>
          <w:rFonts w:eastAsia="Calibri" w:cs="Arial"/>
          <w:noProof/>
          <w:color w:val="auto"/>
          <w:u w:color="333333"/>
          <w:lang w:val="it-IT"/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GmbH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Elektrische</w:t>
      </w:r>
      <w:proofErr w:type="spellEnd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Bauelemente</w:t>
      </w:r>
      <w:proofErr w:type="spellEnd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</w:t>
      </w:r>
      <w:r w:rsidRPr="002F487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Roetelstrasse</w:t>
      </w:r>
      <w:proofErr w:type="spellEnd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</w:t>
      </w:r>
      <w:r w:rsidRPr="002F487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D-74172 </w:t>
      </w:r>
      <w:proofErr w:type="spellStart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Neckarsulm</w:t>
      </w:r>
      <w:proofErr w:type="spellEnd"/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Germania</w:t>
      </w:r>
      <w:r w:rsidRPr="002F487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2F487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bookmarkStart w:id="0" w:name="_GoBack"/>
      <w:bookmarkEnd w:id="0"/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367A8">
        <w:rPr>
          <w:rFonts w:cs="Arial"/>
          <w:noProof/>
          <w:color w:val="auto"/>
          <w:u w:color="333333"/>
          <w:lang w:val="it-IT"/>
        </w:rPr>
        <w:t>Milica Ilic</w:t>
      </w:r>
    </w:p>
    <w:p w14:paraId="4F331779" w14:textId="77777777" w:rsidR="00C93736" w:rsidRPr="00554DF9" w:rsidRDefault="00C93736" w:rsidP="00C93736">
      <w:pPr>
        <w:spacing w:line="360" w:lineRule="auto"/>
        <w:rPr>
          <w:rFonts w:eastAsia="Calibri" w:cs="Arial"/>
          <w:noProof/>
          <w:color w:val="auto"/>
          <w:u w:color="333333"/>
        </w:rPr>
      </w:pPr>
      <w:r>
        <w:rPr>
          <w:rFonts w:cs="Arial"/>
          <w:noProof/>
          <w:color w:val="auto"/>
          <w:u w:color="333333"/>
        </w:rPr>
        <w:t>Tel. +49 (0) 7132 325-493</w:t>
      </w:r>
    </w:p>
    <w:p w14:paraId="76185931" w14:textId="77777777" w:rsidR="00C93736" w:rsidRPr="001367A8" w:rsidRDefault="00C93736" w:rsidP="00C93736">
      <w:pPr>
        <w:spacing w:line="360" w:lineRule="auto"/>
        <w:rPr>
          <w:rFonts w:cs="Arial"/>
          <w:noProof/>
          <w:color w:val="auto"/>
        </w:rPr>
      </w:pPr>
      <w:r>
        <w:rPr>
          <w:rFonts w:cs="Arial"/>
          <w:noProof/>
          <w:color w:val="auto"/>
          <w:u w:color="333333"/>
        </w:rPr>
        <w:t>E-Mail m.ilic</w:t>
      </w:r>
      <w:r w:rsidRPr="00554DF9">
        <w:rPr>
          <w:rFonts w:cs="Arial"/>
          <w:noProof/>
          <w:color w:val="auto"/>
          <w:u w:color="333333"/>
        </w:rPr>
        <w:t>@binder-connector.de</w:t>
      </w:r>
    </w:p>
    <w:p w14:paraId="6AD894FE" w14:textId="77777777" w:rsidR="00C93736" w:rsidRDefault="00C93736" w:rsidP="003A348E">
      <w:pPr>
        <w:widowControl/>
        <w:rPr>
          <w:rFonts w:eastAsia="Helvetica Neue" w:cs="Arial"/>
          <w:noProof/>
          <w:color w:val="auto"/>
          <w:u w:val="single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C93736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340F" w14:textId="77777777" w:rsidR="00BB2E70" w:rsidRDefault="00BB2E70">
      <w:r>
        <w:separator/>
      </w:r>
    </w:p>
  </w:endnote>
  <w:endnote w:type="continuationSeparator" w:id="0">
    <w:p w14:paraId="65C5A934" w14:textId="77777777" w:rsidR="00BB2E70" w:rsidRDefault="00B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3772" w14:textId="77777777" w:rsidR="001D2AB4" w:rsidRDefault="001D2AB4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BAEC" w14:textId="77777777" w:rsidR="00BB2E70" w:rsidRDefault="00BB2E70">
      <w:r>
        <w:separator/>
      </w:r>
    </w:p>
  </w:footnote>
  <w:footnote w:type="continuationSeparator" w:id="0">
    <w:p w14:paraId="333067E7" w14:textId="77777777" w:rsidR="00BB2E70" w:rsidRDefault="00BB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1E54" w14:textId="77777777" w:rsidR="001D2AB4" w:rsidRDefault="002F4878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2C8EED9" wp14:editId="517FE082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DB10B0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4E09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BAD04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A4D6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EB8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E4EB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9C39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464A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2FF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FC7A01"/>
    <w:multiLevelType w:val="hybridMultilevel"/>
    <w:tmpl w:val="08784864"/>
    <w:numStyleLink w:val="ImportierterStil1"/>
  </w:abstractNum>
  <w:abstractNum w:abstractNumId="2" w15:restartNumberingAfterBreak="0">
    <w:nsid w:val="12435181"/>
    <w:multiLevelType w:val="hybridMultilevel"/>
    <w:tmpl w:val="D1B23654"/>
    <w:numStyleLink w:val="ImportierterStil2"/>
  </w:abstractNum>
  <w:abstractNum w:abstractNumId="3" w15:restartNumberingAfterBreak="0">
    <w:nsid w:val="15D00C7F"/>
    <w:multiLevelType w:val="hybridMultilevel"/>
    <w:tmpl w:val="08784864"/>
    <w:numStyleLink w:val="ImportierterStil1"/>
  </w:abstractNum>
  <w:abstractNum w:abstractNumId="4" w15:restartNumberingAfterBreak="0">
    <w:nsid w:val="1DEB6C3D"/>
    <w:multiLevelType w:val="hybridMultilevel"/>
    <w:tmpl w:val="7EB0A022"/>
    <w:styleLink w:val="Punkte"/>
    <w:lvl w:ilvl="0" w:tplc="145422F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C4B2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C0C5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05E1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897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C43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8757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82B3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AF7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E670CE"/>
    <w:multiLevelType w:val="hybridMultilevel"/>
    <w:tmpl w:val="08784864"/>
    <w:numStyleLink w:val="ImportierterStil1"/>
  </w:abstractNum>
  <w:abstractNum w:abstractNumId="6" w15:restartNumberingAfterBreak="0">
    <w:nsid w:val="4B3B59DD"/>
    <w:multiLevelType w:val="hybridMultilevel"/>
    <w:tmpl w:val="D1B23654"/>
    <w:numStyleLink w:val="ImportierterStil2"/>
  </w:abstractNum>
  <w:abstractNum w:abstractNumId="7" w15:restartNumberingAfterBreak="0">
    <w:nsid w:val="5FB14733"/>
    <w:multiLevelType w:val="hybridMultilevel"/>
    <w:tmpl w:val="7EB0A022"/>
    <w:numStyleLink w:val="Punkte"/>
  </w:abstractNum>
  <w:abstractNum w:abstractNumId="8" w15:restartNumberingAfterBreak="0">
    <w:nsid w:val="636F559D"/>
    <w:multiLevelType w:val="hybridMultilevel"/>
    <w:tmpl w:val="08784864"/>
    <w:numStyleLink w:val="ImportierterStil1"/>
  </w:abstractNum>
  <w:abstractNum w:abstractNumId="9" w15:restartNumberingAfterBreak="0">
    <w:nsid w:val="6B36553A"/>
    <w:multiLevelType w:val="hybridMultilevel"/>
    <w:tmpl w:val="D1B23654"/>
    <w:styleLink w:val="ImportierterStil2"/>
    <w:lvl w:ilvl="0" w:tplc="94D404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48FA1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8C14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C1A7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ABAD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0DC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C553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A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CB73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95093F"/>
    <w:multiLevelType w:val="hybridMultilevel"/>
    <w:tmpl w:val="D1B23654"/>
    <w:numStyleLink w:val="ImportierterStil2"/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13EDB"/>
    <w:rsid w:val="000344C0"/>
    <w:rsid w:val="000A26DE"/>
    <w:rsid w:val="000D1055"/>
    <w:rsid w:val="000E26B2"/>
    <w:rsid w:val="000E3B75"/>
    <w:rsid w:val="000F0BFF"/>
    <w:rsid w:val="00112125"/>
    <w:rsid w:val="001519EC"/>
    <w:rsid w:val="00155932"/>
    <w:rsid w:val="001D2AB4"/>
    <w:rsid w:val="0027575F"/>
    <w:rsid w:val="002F250F"/>
    <w:rsid w:val="002F4878"/>
    <w:rsid w:val="0032794C"/>
    <w:rsid w:val="00381097"/>
    <w:rsid w:val="003900DB"/>
    <w:rsid w:val="003A348E"/>
    <w:rsid w:val="003B7235"/>
    <w:rsid w:val="004372B0"/>
    <w:rsid w:val="00441338"/>
    <w:rsid w:val="004F3A88"/>
    <w:rsid w:val="004F69C3"/>
    <w:rsid w:val="00501042"/>
    <w:rsid w:val="005E0943"/>
    <w:rsid w:val="005F5A71"/>
    <w:rsid w:val="006468D4"/>
    <w:rsid w:val="00646B26"/>
    <w:rsid w:val="006F7B90"/>
    <w:rsid w:val="00711E37"/>
    <w:rsid w:val="0075373E"/>
    <w:rsid w:val="007C5286"/>
    <w:rsid w:val="007D2DEA"/>
    <w:rsid w:val="00844AA9"/>
    <w:rsid w:val="00892180"/>
    <w:rsid w:val="008C654D"/>
    <w:rsid w:val="009237F3"/>
    <w:rsid w:val="00983EB2"/>
    <w:rsid w:val="009E7BC0"/>
    <w:rsid w:val="00A77289"/>
    <w:rsid w:val="00B14669"/>
    <w:rsid w:val="00B174CD"/>
    <w:rsid w:val="00B5673B"/>
    <w:rsid w:val="00BB2E70"/>
    <w:rsid w:val="00BE468D"/>
    <w:rsid w:val="00C1499A"/>
    <w:rsid w:val="00C93736"/>
    <w:rsid w:val="00DB0050"/>
    <w:rsid w:val="00E2112F"/>
    <w:rsid w:val="00E54D3F"/>
    <w:rsid w:val="00E8769B"/>
    <w:rsid w:val="00EE37A7"/>
    <w:rsid w:val="00F75BC6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EA5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  <w:style w:type="paragraph" w:styleId="berarbeitung">
    <w:name w:val="Revision"/>
    <w:hidden/>
    <w:uiPriority w:val="99"/>
    <w:semiHidden/>
    <w:rsid w:val="006F7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Franz Binder GmbH &amp; Co. elektrische Bauelemente KG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3</cp:revision>
  <dcterms:created xsi:type="dcterms:W3CDTF">2024-02-20T15:02:00Z</dcterms:created>
  <dcterms:modified xsi:type="dcterms:W3CDTF">2024-02-21T06:27:00Z</dcterms:modified>
</cp:coreProperties>
</file>