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_top" w:id="1"/>
      <w:bookmarkEnd w:id="1"/>
      <w:r>
        <w:rPr/>
      </w:r>
      <w:bookmarkStart w:name="_top" w:id="2"/>
      <w:bookmarkEnd w:id="2"/>
      <w:r>
        <w:rPr/>
      </w:r>
      <w:r>
        <w:rPr>
          <w:spacing w:val="-2"/>
        </w:rPr>
        <w:t>专为狭小空间而设计</w:t>
      </w:r>
    </w:p>
    <w:p>
      <w:pPr>
        <w:pStyle w:val="BodyText"/>
        <w:spacing w:before="345"/>
      </w:pPr>
      <w:r>
        <w:rPr>
          <w:spacing w:val="-1"/>
        </w:rPr>
        <w:t>鉴于塑料材质的失效性处理，塑料弯角插拔锁紧的连接器在设计上具有一定挑战</w:t>
      </w:r>
    </w:p>
    <w:p>
      <w:pPr>
        <w:pStyle w:val="BodyText"/>
        <w:spacing w:line="242" w:lineRule="auto" w:before="5"/>
        <w:ind w:right="163"/>
        <w:jc w:val="both"/>
      </w:pPr>
      <w:r>
        <w:rPr/>
        <w:drawing>
          <wp:anchor distT="0" distB="0" distL="0" distR="0" allowOverlap="1" layoutInCell="1" locked="0" behindDoc="1" simplePos="0" relativeHeight="487587840">
            <wp:simplePos x="0" y="0"/>
            <wp:positionH relativeFrom="page">
              <wp:posOffset>1143000</wp:posOffset>
            </wp:positionH>
            <wp:positionV relativeFrom="paragraph">
              <wp:posOffset>633730</wp:posOffset>
            </wp:positionV>
            <wp:extent cx="5029200" cy="3914775"/>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029200" cy="3914775"/>
                    </a:xfrm>
                    <a:prstGeom prst="rect">
                      <a:avLst/>
                    </a:prstGeom>
                  </pic:spPr>
                </pic:pic>
              </a:graphicData>
            </a:graphic>
          </wp:anchor>
        </w:drawing>
      </w:r>
      <w:r>
        <w:rPr>
          <w:spacing w:val="-2"/>
        </w:rPr>
        <w:t>性。</w:t>
      </w:r>
      <w:r>
        <w:rPr>
          <w:rFonts w:ascii="Calibri" w:eastAsia="Calibri"/>
          <w:b/>
          <w:spacing w:val="-2"/>
        </w:rPr>
        <w:t>720</w:t>
      </w:r>
      <w:r>
        <w:rPr>
          <w:spacing w:val="-2"/>
        </w:rPr>
        <w:t>系列微型连接器，其弯角系利可以提供安全且稳固的连接，同时解决应用场景安装条件受限的问题。</w:t>
      </w:r>
      <w:r>
        <w:rPr>
          <w:rFonts w:ascii="Calibri" w:eastAsia="Calibri"/>
          <w:b/>
          <w:spacing w:val="-2"/>
        </w:rPr>
        <w:t>NCC770</w:t>
      </w:r>
      <w:r>
        <w:rPr>
          <w:spacing w:val="-2"/>
        </w:rPr>
        <w:t>微型连接器也同样推出了弯角版本，可按需求选择不同的电缆出口。</w:t>
      </w:r>
    </w:p>
    <w:p>
      <w:pPr>
        <w:spacing w:before="48"/>
        <w:ind w:left="120" w:right="0" w:firstLine="0"/>
        <w:jc w:val="left"/>
        <w:rPr>
          <w:rFonts w:ascii="Cambria" w:eastAsia="Cambria"/>
          <w:sz w:val="20"/>
        </w:rPr>
      </w:pPr>
      <w:r>
        <w:rPr>
          <w:sz w:val="20"/>
        </w:rPr>
        <w:t>在安装空间有限的情况下，</w:t>
      </w:r>
      <w:r>
        <w:rPr>
          <w:rFonts w:ascii="Cambria" w:eastAsia="Cambria"/>
          <w:sz w:val="20"/>
        </w:rPr>
        <w:t>720</w:t>
      </w:r>
      <w:r>
        <w:rPr>
          <w:sz w:val="20"/>
        </w:rPr>
        <w:t>和</w:t>
      </w:r>
      <w:r>
        <w:rPr>
          <w:rFonts w:ascii="Cambria" w:eastAsia="Cambria"/>
          <w:sz w:val="20"/>
        </w:rPr>
        <w:t>770</w:t>
      </w:r>
      <w:r>
        <w:rPr>
          <w:spacing w:val="-1"/>
          <w:sz w:val="20"/>
        </w:rPr>
        <w:t>系列的弯角版本更便于设备的连接。图片：</w:t>
      </w:r>
      <w:r>
        <w:rPr>
          <w:rFonts w:ascii="Cambria" w:eastAsia="Cambria"/>
          <w:spacing w:val="-2"/>
          <w:sz w:val="20"/>
        </w:rPr>
        <w:t>Binder</w:t>
      </w:r>
    </w:p>
    <w:p>
      <w:pPr>
        <w:pStyle w:val="BodyText"/>
        <w:spacing w:before="9"/>
        <w:ind w:left="0"/>
        <w:rPr>
          <w:rFonts w:ascii="Cambria"/>
          <w:sz w:val="26"/>
        </w:rPr>
      </w:pPr>
    </w:p>
    <w:p>
      <w:pPr>
        <w:pStyle w:val="BodyText"/>
        <w:spacing w:line="242" w:lineRule="auto" w:before="0"/>
        <w:ind w:right="182"/>
      </w:pPr>
      <w:r>
        <w:rPr>
          <w:spacing w:val="-2"/>
        </w:rPr>
        <w:t>作为工业圆形连接器的领头供应商，宾德推出了</w:t>
      </w:r>
      <w:r>
        <w:rPr>
          <w:rFonts w:ascii="Calibri" w:eastAsia="Calibri"/>
          <w:spacing w:val="-2"/>
        </w:rPr>
        <w:t>720</w:t>
      </w:r>
      <w:r>
        <w:rPr>
          <w:spacing w:val="-2"/>
        </w:rPr>
        <w:t>和</w:t>
      </w:r>
      <w:r>
        <w:rPr>
          <w:rFonts w:ascii="Calibri" w:eastAsia="Calibri"/>
          <w:spacing w:val="-2"/>
        </w:rPr>
        <w:t>770</w:t>
      </w:r>
      <w:r>
        <w:rPr>
          <w:spacing w:val="-2"/>
        </w:rPr>
        <w:t>系列支持现场接线的弯角连接器产品。这种紧凑的弯角连接器用于设备、建造和工厂工程：特别是在需要在受限空间中建立安全的电气连接的情况下，</w:t>
      </w:r>
      <w:r>
        <w:rPr>
          <w:rFonts w:ascii="Calibri" w:eastAsia="Calibri"/>
          <w:spacing w:val="-2"/>
        </w:rPr>
        <w:t>720/770</w:t>
      </w:r>
      <w:r>
        <w:rPr>
          <w:spacing w:val="-2"/>
        </w:rPr>
        <w:t>系列插拔或卡扣锁紧的弯角连接器为直头版本提供了可靠且节省空间的替代方案。</w:t>
      </w:r>
    </w:p>
    <w:p>
      <w:pPr>
        <w:pStyle w:val="BodyText"/>
        <w:spacing w:before="9"/>
        <w:ind w:left="0"/>
      </w:pPr>
    </w:p>
    <w:p>
      <w:pPr>
        <w:pStyle w:val="BodyText"/>
        <w:spacing w:before="1"/>
      </w:pPr>
      <w:r>
        <w:rPr>
          <w:spacing w:val="-1"/>
        </w:rPr>
        <w:t>背景：操作安全是设计的优先事项</w:t>
      </w:r>
    </w:p>
    <w:p>
      <w:pPr>
        <w:pStyle w:val="BodyText"/>
        <w:spacing w:line="242" w:lineRule="auto"/>
        <w:ind w:right="163"/>
      </w:pPr>
      <w:r>
        <w:rPr>
          <w:spacing w:val="-2"/>
        </w:rPr>
        <w:t>在</w:t>
      </w:r>
      <w:r>
        <w:rPr>
          <w:rFonts w:ascii="Calibri" w:eastAsia="Calibri"/>
          <w:spacing w:val="-2"/>
        </w:rPr>
        <w:t>720</w:t>
      </w:r>
      <w:r>
        <w:rPr>
          <w:spacing w:val="-2"/>
        </w:rPr>
        <w:t>卡扣连接器的情况下，通过卡扣钩接合在适当的槽中以机械方式固定电气连接，从而锁定接口。然而，如果操作不当，这种类型的锁紧很容易受到影响：如果连接器与轴线成一定角度而不是轴向拔出，这可能会破坏塑料卡钩，具体取决于拉力的大小和方向。为了防止这种应用故障，宾德产品开发人员通过螺纹环将主体与外壳进行连接。即使在与连接器轴线成一定角度施加力的情况下，卡扣钩也能防止损坏，连接器也能承受远远超过标准要求的载荷。</w:t>
      </w:r>
    </w:p>
    <w:p>
      <w:pPr>
        <w:pStyle w:val="BodyText"/>
        <w:spacing w:before="12"/>
        <w:ind w:left="0"/>
      </w:pPr>
    </w:p>
    <w:p>
      <w:pPr>
        <w:pStyle w:val="BodyText"/>
        <w:spacing w:before="0"/>
      </w:pPr>
      <w:r>
        <w:rPr>
          <w:spacing w:val="-1"/>
        </w:rPr>
        <w:t>通过附加的螺纹环，可以满足另外两个设计要求：</w:t>
      </w:r>
    </w:p>
    <w:p>
      <w:pPr>
        <w:pStyle w:val="ListParagraph"/>
        <w:numPr>
          <w:ilvl w:val="0"/>
          <w:numId w:val="1"/>
        </w:numPr>
        <w:tabs>
          <w:tab w:pos="337" w:val="left" w:leader="none"/>
        </w:tabs>
        <w:spacing w:line="240" w:lineRule="auto" w:before="4" w:after="0"/>
        <w:ind w:left="337" w:right="0" w:hanging="217"/>
        <w:jc w:val="left"/>
        <w:rPr>
          <w:sz w:val="22"/>
        </w:rPr>
      </w:pPr>
      <w:r>
        <w:rPr>
          <w:sz w:val="22"/>
        </w:rPr>
        <w:t>这一概念使宾德还可以使用许多相同的零件提供</w:t>
      </w:r>
      <w:r>
        <w:rPr>
          <w:rFonts w:ascii="Calibri" w:eastAsia="Calibri"/>
          <w:sz w:val="22"/>
        </w:rPr>
        <w:t>770</w:t>
      </w:r>
      <w:r>
        <w:rPr>
          <w:spacing w:val="-1"/>
          <w:sz w:val="22"/>
        </w:rPr>
        <w:t>系列推出其他角度的产品。</w:t>
      </w:r>
    </w:p>
    <w:p>
      <w:pPr>
        <w:spacing w:after="0" w:line="240" w:lineRule="auto"/>
        <w:jc w:val="left"/>
        <w:rPr>
          <w:sz w:val="22"/>
        </w:rPr>
        <w:sectPr>
          <w:type w:val="continuous"/>
          <w:pgSz w:w="11900" w:h="16820"/>
          <w:pgMar w:top="1580" w:bottom="280" w:left="1680" w:right="1680"/>
        </w:sectPr>
      </w:pPr>
    </w:p>
    <w:p>
      <w:pPr>
        <w:pStyle w:val="ListParagraph"/>
        <w:numPr>
          <w:ilvl w:val="0"/>
          <w:numId w:val="1"/>
        </w:numPr>
        <w:tabs>
          <w:tab w:pos="337" w:val="left" w:leader="none"/>
        </w:tabs>
        <w:spacing w:line="240" w:lineRule="auto" w:before="63" w:after="0"/>
        <w:ind w:left="337" w:right="0" w:hanging="217"/>
        <w:jc w:val="left"/>
        <w:rPr>
          <w:sz w:val="22"/>
        </w:rPr>
      </w:pPr>
      <w:bookmarkStart w:name="_top" w:id="3"/>
      <w:bookmarkEnd w:id="3"/>
      <w:r>
        <w:rPr/>
      </w:r>
      <w:r>
        <w:rPr>
          <w:sz w:val="22"/>
        </w:rPr>
        <w:t>主体可以按</w:t>
      </w:r>
      <w:r>
        <w:rPr>
          <w:rFonts w:ascii="Calibri" w:hAnsi="Calibri" w:eastAsia="Calibri"/>
          <w:sz w:val="22"/>
        </w:rPr>
        <w:t>90°</w:t>
      </w:r>
      <w:r>
        <w:rPr>
          <w:spacing w:val="-1"/>
          <w:sz w:val="22"/>
        </w:rPr>
        <w:t>进行旋转，用户可以选择电缆出口的方向。</w:t>
      </w:r>
    </w:p>
    <w:p>
      <w:pPr>
        <w:pStyle w:val="BodyText"/>
      </w:pPr>
      <w:r>
        <w:rPr/>
        <w:t>对于通常角度为</w:t>
      </w:r>
      <w:r>
        <w:rPr>
          <w:rFonts w:ascii="Calibri" w:hAnsi="Calibri" w:eastAsia="Calibri"/>
        </w:rPr>
        <w:t>90°</w:t>
      </w:r>
      <w:r>
        <w:rPr>
          <w:spacing w:val="-1"/>
        </w:rPr>
        <w:t>的外壳而言，电缆布线存在问题。正如其他产品系列所知，将电缆</w:t>
      </w:r>
    </w:p>
    <w:p>
      <w:pPr>
        <w:pStyle w:val="BodyText"/>
      </w:pPr>
      <w:r>
        <w:rPr/>
        <w:t>弯曲</w:t>
      </w:r>
      <w:r>
        <w:rPr>
          <w:rFonts w:ascii="Calibri" w:hAnsi="Calibri" w:eastAsia="Calibri"/>
        </w:rPr>
        <w:t>90°</w:t>
      </w:r>
      <w:r>
        <w:rPr/>
        <w:t>通常很困难。因此，新外壳的角度选择为</w:t>
      </w:r>
      <w:r>
        <w:rPr>
          <w:rFonts w:ascii="Calibri" w:hAnsi="Calibri" w:eastAsia="Calibri"/>
        </w:rPr>
        <w:t>100°</w:t>
      </w:r>
      <w:r>
        <w:rPr>
          <w:spacing w:val="-1"/>
        </w:rPr>
        <w:t>，这大大简化了电缆组装。</w:t>
      </w:r>
    </w:p>
    <w:p>
      <w:pPr>
        <w:pStyle w:val="BodyText"/>
        <w:spacing w:before="9"/>
        <w:ind w:left="0"/>
      </w:pPr>
    </w:p>
    <w:p>
      <w:pPr>
        <w:pStyle w:val="BodyText"/>
        <w:spacing w:before="0"/>
      </w:pPr>
      <w:r>
        <w:rPr>
          <w:spacing w:val="-1"/>
        </w:rPr>
        <w:t>弯角连接器的细节介绍</w:t>
      </w:r>
    </w:p>
    <w:p>
      <w:pPr>
        <w:pStyle w:val="BodyText"/>
        <w:spacing w:line="242" w:lineRule="auto"/>
        <w:ind w:right="113"/>
        <w:jc w:val="both"/>
      </w:pPr>
      <w:r>
        <w:rPr>
          <w:rFonts w:ascii="Calibri" w:eastAsia="Calibri"/>
          <w:spacing w:val="-2"/>
        </w:rPr>
        <w:t>720</w:t>
      </w:r>
      <w:r>
        <w:rPr>
          <w:spacing w:val="-2"/>
        </w:rPr>
        <w:t>插拔系列弯角产品将用于照明技术装置、温室供暖系统和电动自行车。该系列的额</w:t>
      </w:r>
      <w:r>
        <w:rPr/>
        <w:t>定电压</w:t>
      </w:r>
      <w:r>
        <w:rPr>
          <w:rFonts w:ascii="Calibri" w:eastAsia="Calibri"/>
        </w:rPr>
        <w:t>60-250</w:t>
      </w:r>
      <w:r>
        <w:rPr>
          <w:rFonts w:ascii="Calibri" w:eastAsia="Calibri"/>
          <w:spacing w:val="40"/>
        </w:rPr>
        <w:t>  </w:t>
      </w:r>
      <w:r>
        <w:rPr>
          <w:rFonts w:ascii="Calibri" w:eastAsia="Calibri"/>
        </w:rPr>
        <w:t>V</w:t>
      </w:r>
      <w:r>
        <w:rPr/>
        <w:t>，电流</w:t>
      </w:r>
      <w:r>
        <w:rPr>
          <w:rFonts w:ascii="Calibri" w:eastAsia="Calibri"/>
        </w:rPr>
        <w:t>2-7</w:t>
      </w:r>
      <w:r>
        <w:rPr>
          <w:rFonts w:ascii="Calibri" w:eastAsia="Calibri"/>
          <w:spacing w:val="-5"/>
        </w:rPr>
        <w:t> </w:t>
      </w:r>
      <w:r>
        <w:rPr>
          <w:rFonts w:ascii="Calibri" w:eastAsia="Calibri"/>
        </w:rPr>
        <w:t>A</w:t>
      </w:r>
      <w:r>
        <w:rPr/>
        <w:t>。</w:t>
      </w:r>
      <w:r>
        <w:rPr>
          <w:rFonts w:ascii="Calibri" w:eastAsia="Calibri"/>
        </w:rPr>
        <w:t>3-12</w:t>
      </w:r>
      <w:r>
        <w:rPr/>
        <w:t>芯，焊接接线。防护等级</w:t>
      </w:r>
      <w:r>
        <w:rPr>
          <w:rFonts w:ascii="Calibri" w:eastAsia="Calibri"/>
        </w:rPr>
        <w:t>IP67</w:t>
      </w:r>
      <w:r>
        <w:rPr/>
        <w:t>（对插时），插拔周</w:t>
      </w:r>
      <w:r>
        <w:rPr>
          <w:spacing w:val="-2"/>
        </w:rPr>
        <w:t>期</w:t>
      </w:r>
      <w:r>
        <w:rPr>
          <w:rFonts w:ascii="Calibri" w:eastAsia="Calibri"/>
          <w:spacing w:val="-2"/>
        </w:rPr>
        <w:t>500</w:t>
      </w:r>
      <w:r>
        <w:rPr>
          <w:spacing w:val="-2"/>
        </w:rPr>
        <w:t>次以上。</w:t>
      </w:r>
    </w:p>
    <w:p>
      <w:pPr>
        <w:pStyle w:val="BodyText"/>
        <w:spacing w:before="8"/>
        <w:ind w:left="0"/>
      </w:pPr>
    </w:p>
    <w:p>
      <w:pPr>
        <w:pStyle w:val="BodyText"/>
        <w:spacing w:line="242" w:lineRule="auto" w:before="1"/>
        <w:ind w:right="113"/>
      </w:pPr>
      <w:r>
        <w:rPr>
          <w:rFonts w:ascii="Calibri" w:hAnsi="Calibri" w:eastAsia="Calibri"/>
        </w:rPr>
        <w:t>77</w:t>
      </w:r>
      <w:r>
        <w:rPr>
          <w:rFonts w:ascii="Calibri" w:hAnsi="Calibri" w:eastAsia="Calibri"/>
          <w:spacing w:val="1"/>
        </w:rPr>
        <w:t>0</w:t>
      </w:r>
      <w:r>
        <w:rPr/>
        <w:t>系列卡扣锁定的</w:t>
      </w:r>
      <w:r>
        <w:rPr>
          <w:rFonts w:ascii="Calibri" w:hAnsi="Calibri" w:eastAsia="Calibri"/>
        </w:rPr>
        <w:t>NC</w:t>
      </w:r>
      <w:r>
        <w:rPr>
          <w:rFonts w:ascii="Calibri" w:hAnsi="Calibri" w:eastAsia="Calibri"/>
          <w:spacing w:val="-1"/>
        </w:rPr>
        <w:t>C</w:t>
      </w:r>
      <w:r>
        <w:rPr/>
        <w:t>（</w:t>
      </w:r>
      <w:r>
        <w:rPr>
          <w:rFonts w:ascii="Calibri" w:hAnsi="Calibri" w:eastAsia="Calibri"/>
        </w:rPr>
        <w:t>Not   Connected</w:t>
      </w:r>
      <w:r>
        <w:rPr>
          <w:rFonts w:ascii="Calibri" w:hAnsi="Calibri" w:eastAsia="Calibri"/>
          <w:spacing w:val="-1"/>
        </w:rPr>
        <w:t> </w:t>
      </w:r>
      <w:r>
        <w:rPr>
          <w:rFonts w:ascii="Calibri" w:hAnsi="Calibri" w:eastAsia="Calibri"/>
        </w:rPr>
        <w:t>Closed</w:t>
      </w:r>
      <w:r>
        <w:rPr/>
        <w:t>）</w:t>
      </w:r>
      <w:r>
        <w:rPr>
          <w:spacing w:val="-2"/>
        </w:rPr>
        <w:t>弯角连接器适用于紧凑型手持控制面</w:t>
      </w:r>
      <w:r>
        <w:rPr/>
        <w:t>板、医疗家庭护理设备和实验室计量仪器</w:t>
      </w:r>
      <w:r>
        <w:rPr>
          <w:rFonts w:ascii="Calibri" w:hAnsi="Calibri" w:eastAsia="Calibri"/>
          <w:spacing w:val="-1"/>
        </w:rPr>
        <w:t>——</w:t>
      </w:r>
      <w:r>
        <w:rPr/>
        <w:t>这些仪器必须以特别节省空间的方式安装，例如安装在墙壁上。</w:t>
      </w:r>
      <w:r>
        <w:rPr>
          <w:rFonts w:ascii="Calibri" w:hAnsi="Calibri" w:eastAsia="Calibri"/>
        </w:rPr>
        <w:t>8</w:t>
      </w:r>
      <w:r>
        <w:rPr/>
        <w:t>芯带焊接；额定电压和电流分别为</w:t>
      </w:r>
      <w:r>
        <w:rPr>
          <w:rFonts w:ascii="Calibri" w:hAnsi="Calibri" w:eastAsia="Calibri"/>
        </w:rPr>
        <w:t>175</w:t>
      </w:r>
      <w:r>
        <w:rPr>
          <w:rFonts w:ascii="Calibri" w:hAnsi="Calibri" w:eastAsia="Calibri"/>
          <w:spacing w:val="1"/>
        </w:rPr>
        <w:t>V</w:t>
      </w:r>
      <w:r>
        <w:rPr/>
        <w:t>和</w:t>
      </w:r>
      <w:r>
        <w:rPr>
          <w:rFonts w:ascii="Calibri" w:hAnsi="Calibri" w:eastAsia="Calibri"/>
        </w:rPr>
        <w:t>2A</w:t>
      </w:r>
      <w:r>
        <w:rPr/>
        <w:t>。除了对插</w:t>
      </w:r>
    </w:p>
    <w:p>
      <w:pPr>
        <w:pStyle w:val="BodyText"/>
        <w:spacing w:line="242" w:lineRule="auto" w:before="3"/>
        <w:ind w:right="217"/>
      </w:pPr>
      <w:r>
        <w:rPr>
          <w:spacing w:val="-2"/>
        </w:rPr>
        <w:t>时</w:t>
      </w:r>
      <w:r>
        <w:rPr>
          <w:rFonts w:ascii="Calibri" w:eastAsia="Calibri"/>
          <w:spacing w:val="-2"/>
        </w:rPr>
        <w:t>IP67</w:t>
      </w:r>
      <w:r>
        <w:rPr>
          <w:spacing w:val="-2"/>
        </w:rPr>
        <w:t>防护外，宾德的</w:t>
      </w:r>
      <w:r>
        <w:rPr>
          <w:rFonts w:ascii="Calibri" w:eastAsia="Calibri"/>
          <w:spacing w:val="-2"/>
        </w:rPr>
        <w:t>NCC</w:t>
      </w:r>
      <w:r>
        <w:rPr>
          <w:spacing w:val="-2"/>
        </w:rPr>
        <w:t>技术，孔头面板安装连接器在未配合时也实现了</w:t>
      </w:r>
      <w:r>
        <w:rPr>
          <w:rFonts w:ascii="Calibri" w:eastAsia="Calibri"/>
          <w:spacing w:val="-2"/>
        </w:rPr>
        <w:t>IP67</w:t>
      </w:r>
      <w:r>
        <w:rPr>
          <w:spacing w:val="-2"/>
        </w:rPr>
        <w:t>防护。插拔周期</w:t>
      </w:r>
      <w:r>
        <w:rPr>
          <w:rFonts w:ascii="Calibri" w:eastAsia="Calibri"/>
          <w:spacing w:val="-2"/>
        </w:rPr>
        <w:t>5000</w:t>
      </w:r>
      <w:r>
        <w:rPr>
          <w:spacing w:val="-2"/>
        </w:rPr>
        <w:t>次以上。</w:t>
      </w:r>
    </w:p>
    <w:p>
      <w:pPr>
        <w:pStyle w:val="BodyText"/>
        <w:spacing w:before="7"/>
        <w:ind w:left="0"/>
      </w:pPr>
    </w:p>
    <w:p>
      <w:pPr>
        <w:pStyle w:val="BodyText"/>
        <w:spacing w:line="242" w:lineRule="auto" w:before="0"/>
        <w:ind w:right="311"/>
      </w:pPr>
      <w:r>
        <w:rPr/>
        <w:t>除了黑色外，</w:t>
      </w:r>
      <w:r>
        <w:rPr>
          <w:rFonts w:ascii="Calibri" w:eastAsia="Calibri"/>
        </w:rPr>
        <w:t>720</w:t>
      </w:r>
      <w:r>
        <w:rPr/>
        <w:t>和</w:t>
      </w:r>
      <w:r>
        <w:rPr>
          <w:rFonts w:ascii="Calibri" w:eastAsia="Calibri"/>
        </w:rPr>
        <w:t>770</w:t>
      </w:r>
      <w:r>
        <w:rPr/>
        <w:t>系列的连接器还有红色、绿色和蓝色以及白色（</w:t>
      </w:r>
      <w:r>
        <w:rPr>
          <w:rFonts w:ascii="Calibri" w:eastAsia="Calibri"/>
        </w:rPr>
        <w:t>RAL</w:t>
      </w:r>
      <w:r>
        <w:rPr>
          <w:rFonts w:ascii="Calibri" w:eastAsia="Calibri"/>
          <w:spacing w:val="-13"/>
        </w:rPr>
        <w:t> </w:t>
      </w:r>
      <w:r>
        <w:rPr>
          <w:rFonts w:ascii="Calibri" w:eastAsia="Calibri"/>
        </w:rPr>
        <w:t>9002</w:t>
      </w:r>
      <w:r>
        <w:rPr/>
        <w:t>）</w:t>
      </w:r>
      <w:r>
        <w:rPr/>
        <w:t>可</w:t>
      </w:r>
      <w:r>
        <w:rPr>
          <w:spacing w:val="-2"/>
        </w:rPr>
        <w:t>供选择。这些是医疗应用里的常规颜色。</w:t>
      </w:r>
    </w:p>
    <w:sectPr>
      <w:pgSz w:w="11900" w:h="16820"/>
      <w:pgMar w:top="14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 w:name="Yu Gothic">
    <w:altName w:val="Yu Gothic"/>
    <w:charset w:val="0"/>
    <w:family w:val="swiss"/>
    <w:pitch w:val="variable"/>
  </w:font>
  <w:font w:name="MS PMincho">
    <w:altName w:val="MS PMincho"/>
    <w:charset w:val="0"/>
    <w:family w:val="roman"/>
    <w:pitch w:val="variable"/>
  </w:font>
  <w:font w:name="PMingLiU">
    <w:altName w:val="PMingLiU"/>
    <w:charset w:val="0"/>
    <w:family w:val="roman"/>
    <w:pitch w:val="variable"/>
  </w:font>
  <w:font w:name="Calibri">
    <w:altName w:val="Calibri"/>
    <w:charset w:val="0"/>
    <w:family w:val="swiss"/>
    <w:pitch w:val="variable"/>
  </w:font>
  <w:font w:name="Yu Gothic Light">
    <w:altName w:val="Yu Gothic Light"/>
    <w:charset w:val="0"/>
    <w:family w:val="swiss"/>
    <w:pitch w:val="variable"/>
  </w:font>
  <w:font w:name="MingLiU">
    <w:altName w:val="MingLiU"/>
    <w:charset w:val="0"/>
    <w:family w:val="modern"/>
    <w:pitch w:val="fixed"/>
  </w:font>
  <w:font w:name="Cambria">
    <w:altName w:val="Cambria"/>
    <w:charset w:val="0"/>
    <w:family w:val="roman"/>
    <w:pitch w:val="variable"/>
  </w:font>
  <w:font w:name="MS Gothic">
    <w:altName w:val="MS Gothic"/>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38" w:hanging="218"/>
        <w:jc w:val="left"/>
      </w:pPr>
      <w:rPr>
        <w:rFonts w:hint="default" w:ascii="Calibri" w:hAnsi="Calibri" w:eastAsia="Calibri" w:cs="Calibri"/>
        <w:b w:val="0"/>
        <w:bCs w:val="0"/>
        <w:i w:val="0"/>
        <w:iCs w:val="0"/>
        <w:spacing w:val="0"/>
        <w:w w:val="100"/>
        <w:sz w:val="22"/>
        <w:szCs w:val="22"/>
        <w:lang w:val="en-US" w:eastAsia="zh-CN" w:bidi="ar-SA"/>
      </w:rPr>
    </w:lvl>
    <w:lvl w:ilvl="1">
      <w:start w:val="0"/>
      <w:numFmt w:val="bullet"/>
      <w:lvlText w:val="•"/>
      <w:lvlJc w:val="left"/>
      <w:pPr>
        <w:ind w:left="1160" w:hanging="218"/>
      </w:pPr>
      <w:rPr>
        <w:rFonts w:hint="default"/>
        <w:lang w:val="en-US" w:eastAsia="zh-CN" w:bidi="ar-SA"/>
      </w:rPr>
    </w:lvl>
    <w:lvl w:ilvl="2">
      <w:start w:val="0"/>
      <w:numFmt w:val="bullet"/>
      <w:lvlText w:val="•"/>
      <w:lvlJc w:val="left"/>
      <w:pPr>
        <w:ind w:left="1980" w:hanging="218"/>
      </w:pPr>
      <w:rPr>
        <w:rFonts w:hint="default"/>
        <w:lang w:val="en-US" w:eastAsia="zh-CN" w:bidi="ar-SA"/>
      </w:rPr>
    </w:lvl>
    <w:lvl w:ilvl="3">
      <w:start w:val="0"/>
      <w:numFmt w:val="bullet"/>
      <w:lvlText w:val="•"/>
      <w:lvlJc w:val="left"/>
      <w:pPr>
        <w:ind w:left="2800" w:hanging="218"/>
      </w:pPr>
      <w:rPr>
        <w:rFonts w:hint="default"/>
        <w:lang w:val="en-US" w:eastAsia="zh-CN" w:bidi="ar-SA"/>
      </w:rPr>
    </w:lvl>
    <w:lvl w:ilvl="4">
      <w:start w:val="0"/>
      <w:numFmt w:val="bullet"/>
      <w:lvlText w:val="•"/>
      <w:lvlJc w:val="left"/>
      <w:pPr>
        <w:ind w:left="3620" w:hanging="218"/>
      </w:pPr>
      <w:rPr>
        <w:rFonts w:hint="default"/>
        <w:lang w:val="en-US" w:eastAsia="zh-CN" w:bidi="ar-SA"/>
      </w:rPr>
    </w:lvl>
    <w:lvl w:ilvl="5">
      <w:start w:val="0"/>
      <w:numFmt w:val="bullet"/>
      <w:lvlText w:val="•"/>
      <w:lvlJc w:val="left"/>
      <w:pPr>
        <w:ind w:left="4440" w:hanging="218"/>
      </w:pPr>
      <w:rPr>
        <w:rFonts w:hint="default"/>
        <w:lang w:val="en-US" w:eastAsia="zh-CN" w:bidi="ar-SA"/>
      </w:rPr>
    </w:lvl>
    <w:lvl w:ilvl="6">
      <w:start w:val="0"/>
      <w:numFmt w:val="bullet"/>
      <w:lvlText w:val="•"/>
      <w:lvlJc w:val="left"/>
      <w:pPr>
        <w:ind w:left="5260" w:hanging="218"/>
      </w:pPr>
      <w:rPr>
        <w:rFonts w:hint="default"/>
        <w:lang w:val="en-US" w:eastAsia="zh-CN" w:bidi="ar-SA"/>
      </w:rPr>
    </w:lvl>
    <w:lvl w:ilvl="7">
      <w:start w:val="0"/>
      <w:numFmt w:val="bullet"/>
      <w:lvlText w:val="•"/>
      <w:lvlJc w:val="left"/>
      <w:pPr>
        <w:ind w:left="6080" w:hanging="218"/>
      </w:pPr>
      <w:rPr>
        <w:rFonts w:hint="default"/>
        <w:lang w:val="en-US" w:eastAsia="zh-CN" w:bidi="ar-SA"/>
      </w:rPr>
    </w:lvl>
    <w:lvl w:ilvl="8">
      <w:start w:val="0"/>
      <w:numFmt w:val="bullet"/>
      <w:lvlText w:val="•"/>
      <w:lvlJc w:val="left"/>
      <w:pPr>
        <w:ind w:left="6900" w:hanging="218"/>
      </w:pPr>
      <w:rPr>
        <w:rFonts w:hint="default"/>
        <w:lang w:val="en-US" w:eastAsia="zh-CN"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MingLiU" w:hAnsi="PMingLiU" w:eastAsia="PMingLiU" w:cs="PMingLiU"/>
      <w:lang w:val="en-US" w:eastAsia="zh-CN" w:bidi="ar-SA"/>
    </w:rPr>
  </w:style>
  <w:style w:styleId="BodyText" w:type="paragraph">
    <w:name w:val="Body Text"/>
    <w:basedOn w:val="Normal"/>
    <w:uiPriority w:val="1"/>
    <w:qFormat/>
    <w:pPr>
      <w:spacing w:before="4"/>
      <w:ind w:left="120"/>
    </w:pPr>
    <w:rPr>
      <w:rFonts w:ascii="PMingLiU" w:hAnsi="PMingLiU" w:eastAsia="PMingLiU" w:cs="PMingLiU"/>
      <w:sz w:val="22"/>
      <w:szCs w:val="22"/>
      <w:lang w:val="en-US" w:eastAsia="zh-CN" w:bidi="ar-SA"/>
    </w:rPr>
  </w:style>
  <w:style w:styleId="Title" w:type="paragraph">
    <w:name w:val="Title"/>
    <w:basedOn w:val="Normal"/>
    <w:uiPriority w:val="1"/>
    <w:qFormat/>
    <w:pPr>
      <w:spacing w:before="26"/>
      <w:ind w:left="120"/>
    </w:pPr>
    <w:rPr>
      <w:rFonts w:ascii="PMingLiU" w:hAnsi="PMingLiU" w:eastAsia="PMingLiU" w:cs="PMingLiU"/>
      <w:sz w:val="32"/>
      <w:szCs w:val="32"/>
      <w:lang w:val="en-US" w:eastAsia="zh-CN" w:bidi="ar-SA"/>
    </w:rPr>
  </w:style>
  <w:style w:styleId="ListParagraph" w:type="paragraph">
    <w:name w:val="List Paragraph"/>
    <w:basedOn w:val="Normal"/>
    <w:uiPriority w:val="1"/>
    <w:qFormat/>
    <w:pPr>
      <w:spacing w:before="4"/>
      <w:ind w:left="337" w:hanging="217"/>
    </w:pPr>
    <w:rPr>
      <w:rFonts w:ascii="PMingLiU" w:hAnsi="PMingLiU" w:eastAsia="PMingLiU" w:cs="PMingLiU"/>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2023-07-11T12:06:13Z</dcterms:created>
  <dcterms:modified xsi:type="dcterms:W3CDTF">2023-07-11T12:06:13Z</dcterms:modified>
</cp:coreProperties>
</file>